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200" w:type="dxa"/>
        <w:tblCellMar>
          <w:left w:w="70" w:type="dxa"/>
          <w:right w:w="70" w:type="dxa"/>
        </w:tblCellMar>
        <w:tblLook w:val="04A0" w:firstRow="1" w:lastRow="0" w:firstColumn="1" w:lastColumn="0" w:noHBand="0" w:noVBand="1"/>
      </w:tblPr>
      <w:tblGrid>
        <w:gridCol w:w="4465"/>
        <w:gridCol w:w="4335"/>
        <w:gridCol w:w="4400"/>
      </w:tblGrid>
      <w:tr w:rsidR="00256FF7" w:rsidRPr="009E1EC4" w:rsidTr="00C82F94">
        <w:trPr>
          <w:trHeight w:val="324"/>
        </w:trPr>
        <w:tc>
          <w:tcPr>
            <w:tcW w:w="13200" w:type="dxa"/>
            <w:gridSpan w:val="3"/>
            <w:tcBorders>
              <w:top w:val="nil"/>
              <w:left w:val="nil"/>
              <w:bottom w:val="nil"/>
              <w:right w:val="nil"/>
            </w:tcBorders>
            <w:shd w:val="clear" w:color="auto" w:fill="auto"/>
            <w:noWrap/>
            <w:vAlign w:val="bottom"/>
            <w:hideMark/>
          </w:tcPr>
          <w:p w:rsidR="00256FF7" w:rsidRDefault="00256FF7" w:rsidP="00256FF7">
            <w:pPr>
              <w:spacing w:after="0" w:line="240" w:lineRule="auto"/>
              <w:jc w:val="center"/>
              <w:rPr>
                <w:rFonts w:ascii="Calibri" w:eastAsia="Times New Roman" w:hAnsi="Calibri" w:cs="Times New Roman"/>
                <w:b/>
                <w:bCs/>
                <w:color w:val="000000"/>
                <w:sz w:val="24"/>
                <w:szCs w:val="24"/>
                <w:lang w:eastAsia="es-CO"/>
              </w:rPr>
            </w:pPr>
          </w:p>
          <w:p w:rsidR="00256FF7" w:rsidRDefault="00256FF7" w:rsidP="00256FF7">
            <w:pPr>
              <w:spacing w:after="0" w:line="240" w:lineRule="auto"/>
              <w:jc w:val="center"/>
              <w:rPr>
                <w:rFonts w:ascii="Calibri" w:eastAsia="Times New Roman" w:hAnsi="Calibri" w:cs="Times New Roman"/>
                <w:b/>
                <w:bCs/>
                <w:color w:val="000000"/>
                <w:sz w:val="24"/>
                <w:szCs w:val="24"/>
                <w:lang w:eastAsia="es-CO"/>
              </w:rPr>
            </w:pPr>
            <w:r w:rsidRPr="00F46BF0">
              <w:rPr>
                <w:rFonts w:eastAsia="Times New Roman"/>
                <w:b/>
                <w:bCs/>
                <w:color w:val="000000"/>
                <w:sz w:val="26"/>
                <w:szCs w:val="26"/>
                <w:lang w:eastAsia="es-CO"/>
              </w:rPr>
              <w:t xml:space="preserve">Lineamientos para la formulación del </w:t>
            </w:r>
            <w:r>
              <w:rPr>
                <w:rFonts w:eastAsia="Times New Roman"/>
                <w:b/>
                <w:bCs/>
                <w:color w:val="000000"/>
                <w:sz w:val="26"/>
                <w:szCs w:val="26"/>
                <w:lang w:eastAsia="es-CO"/>
              </w:rPr>
              <w:t>I</w:t>
            </w:r>
            <w:r w:rsidRPr="00F46BF0">
              <w:rPr>
                <w:rFonts w:eastAsia="Times New Roman"/>
                <w:b/>
                <w:bCs/>
                <w:color w:val="000000"/>
                <w:sz w:val="26"/>
                <w:szCs w:val="26"/>
                <w:lang w:eastAsia="es-CO"/>
              </w:rPr>
              <w:t>nforme de Empalme</w:t>
            </w:r>
          </w:p>
          <w:p w:rsidR="00256FF7" w:rsidRDefault="00256FF7" w:rsidP="00256FF7">
            <w:pPr>
              <w:spacing w:after="0" w:line="240" w:lineRule="auto"/>
              <w:jc w:val="center"/>
              <w:rPr>
                <w:rFonts w:ascii="Calibri" w:eastAsia="Times New Roman" w:hAnsi="Calibri" w:cs="Times New Roman"/>
                <w:b/>
                <w:bCs/>
                <w:color w:val="000000"/>
                <w:sz w:val="24"/>
                <w:szCs w:val="24"/>
                <w:lang w:eastAsia="es-CO"/>
              </w:rPr>
            </w:pPr>
          </w:p>
          <w:p w:rsidR="00256FF7" w:rsidRDefault="00256FF7" w:rsidP="00256FF7">
            <w:pPr>
              <w:spacing w:after="0" w:line="240" w:lineRule="auto"/>
              <w:jc w:val="center"/>
              <w:rPr>
                <w:rFonts w:ascii="Calibri" w:eastAsia="Times New Roman" w:hAnsi="Calibri" w:cs="Times New Roman"/>
                <w:b/>
                <w:bCs/>
                <w:color w:val="000000"/>
                <w:sz w:val="24"/>
                <w:szCs w:val="24"/>
                <w:lang w:eastAsia="es-CO"/>
              </w:rPr>
            </w:pPr>
            <w:r>
              <w:rPr>
                <w:rFonts w:ascii="Calibri" w:eastAsia="Times New Roman" w:hAnsi="Calibri" w:cs="Times New Roman"/>
                <w:b/>
                <w:bCs/>
                <w:color w:val="000000"/>
                <w:sz w:val="24"/>
                <w:szCs w:val="24"/>
                <w:lang w:eastAsia="es-CO"/>
              </w:rPr>
              <w:t>Empleo y trabajo decente</w:t>
            </w:r>
          </w:p>
          <w:p w:rsidR="00256FF7" w:rsidRPr="009E1EC4" w:rsidRDefault="00256FF7" w:rsidP="00256FF7">
            <w:pPr>
              <w:spacing w:after="0" w:line="240" w:lineRule="auto"/>
              <w:jc w:val="center"/>
              <w:rPr>
                <w:rFonts w:ascii="Times New Roman" w:eastAsia="Times New Roman" w:hAnsi="Times New Roman" w:cs="Times New Roman"/>
                <w:sz w:val="20"/>
                <w:szCs w:val="20"/>
                <w:lang w:eastAsia="es-CO"/>
              </w:rPr>
            </w:pPr>
          </w:p>
        </w:tc>
      </w:tr>
      <w:tr w:rsidR="009E1EC4" w:rsidRPr="00DC7A2A" w:rsidTr="00256FF7">
        <w:trPr>
          <w:trHeight w:val="300"/>
        </w:trPr>
        <w:tc>
          <w:tcPr>
            <w:tcW w:w="44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E1EC4" w:rsidRPr="00DC7A2A" w:rsidRDefault="009E1EC4" w:rsidP="009E1EC4">
            <w:pPr>
              <w:spacing w:after="0" w:line="240" w:lineRule="auto"/>
              <w:jc w:val="center"/>
              <w:rPr>
                <w:rFonts w:ascii="Calibri" w:eastAsia="Times New Roman" w:hAnsi="Calibri" w:cs="Times New Roman"/>
                <w:b/>
                <w:bCs/>
                <w:color w:val="000000"/>
                <w:sz w:val="18"/>
                <w:szCs w:val="18"/>
                <w:lang w:eastAsia="es-CO"/>
              </w:rPr>
            </w:pPr>
            <w:r w:rsidRPr="00DC7A2A">
              <w:rPr>
                <w:rFonts w:ascii="Calibri" w:eastAsia="Times New Roman" w:hAnsi="Calibri" w:cs="Times New Roman"/>
                <w:b/>
                <w:bCs/>
                <w:color w:val="000000"/>
                <w:sz w:val="18"/>
                <w:szCs w:val="18"/>
                <w:lang w:eastAsia="es-CO"/>
              </w:rPr>
              <w:t xml:space="preserve">PACTO </w:t>
            </w:r>
          </w:p>
        </w:tc>
        <w:tc>
          <w:tcPr>
            <w:tcW w:w="4335" w:type="dxa"/>
            <w:tcBorders>
              <w:top w:val="single" w:sz="8" w:space="0" w:color="auto"/>
              <w:left w:val="nil"/>
              <w:bottom w:val="single" w:sz="8" w:space="0" w:color="auto"/>
              <w:right w:val="single" w:sz="4" w:space="0" w:color="auto"/>
            </w:tcBorders>
            <w:shd w:val="clear" w:color="auto" w:fill="auto"/>
            <w:noWrap/>
            <w:vAlign w:val="center"/>
            <w:hideMark/>
          </w:tcPr>
          <w:p w:rsidR="009E1EC4" w:rsidRPr="00DC7A2A" w:rsidRDefault="009E1EC4" w:rsidP="009E1EC4">
            <w:pPr>
              <w:spacing w:after="0" w:line="240" w:lineRule="auto"/>
              <w:jc w:val="center"/>
              <w:rPr>
                <w:rFonts w:ascii="Calibri" w:eastAsia="Times New Roman" w:hAnsi="Calibri" w:cs="Times New Roman"/>
                <w:b/>
                <w:bCs/>
                <w:color w:val="000000"/>
                <w:sz w:val="18"/>
                <w:szCs w:val="18"/>
                <w:lang w:eastAsia="es-CO"/>
              </w:rPr>
            </w:pPr>
            <w:r w:rsidRPr="00DC7A2A">
              <w:rPr>
                <w:rFonts w:ascii="Calibri" w:eastAsia="Times New Roman" w:hAnsi="Calibri" w:cs="Times New Roman"/>
                <w:b/>
                <w:bCs/>
                <w:color w:val="000000"/>
                <w:sz w:val="18"/>
                <w:szCs w:val="18"/>
                <w:lang w:eastAsia="es-CO"/>
              </w:rPr>
              <w:t>TEMATICA</w:t>
            </w:r>
          </w:p>
        </w:tc>
        <w:tc>
          <w:tcPr>
            <w:tcW w:w="4400" w:type="dxa"/>
            <w:tcBorders>
              <w:top w:val="single" w:sz="8" w:space="0" w:color="auto"/>
              <w:left w:val="nil"/>
              <w:bottom w:val="single" w:sz="8" w:space="0" w:color="auto"/>
              <w:right w:val="single" w:sz="8" w:space="0" w:color="auto"/>
            </w:tcBorders>
            <w:shd w:val="clear" w:color="auto" w:fill="auto"/>
            <w:noWrap/>
            <w:vAlign w:val="center"/>
            <w:hideMark/>
          </w:tcPr>
          <w:p w:rsidR="009E1EC4" w:rsidRPr="00DC7A2A" w:rsidRDefault="009E1EC4" w:rsidP="009E1EC4">
            <w:pPr>
              <w:spacing w:after="0" w:line="240" w:lineRule="auto"/>
              <w:jc w:val="center"/>
              <w:rPr>
                <w:rFonts w:ascii="Calibri" w:eastAsia="Times New Roman" w:hAnsi="Calibri" w:cs="Times New Roman"/>
                <w:b/>
                <w:bCs/>
                <w:color w:val="000000"/>
                <w:sz w:val="18"/>
                <w:szCs w:val="18"/>
                <w:lang w:eastAsia="es-CO"/>
              </w:rPr>
            </w:pPr>
            <w:r w:rsidRPr="00DC7A2A">
              <w:rPr>
                <w:rFonts w:ascii="Calibri" w:eastAsia="Times New Roman" w:hAnsi="Calibri" w:cs="Times New Roman"/>
                <w:b/>
                <w:bCs/>
                <w:color w:val="000000"/>
                <w:sz w:val="18"/>
                <w:szCs w:val="18"/>
                <w:lang w:eastAsia="es-CO"/>
              </w:rPr>
              <w:t>LOGROS TERRITORIALES</w:t>
            </w:r>
          </w:p>
        </w:tc>
      </w:tr>
      <w:tr w:rsidR="009E1EC4" w:rsidRPr="00DC7A2A" w:rsidTr="00256FF7">
        <w:trPr>
          <w:trHeight w:val="492"/>
        </w:trPr>
        <w:tc>
          <w:tcPr>
            <w:tcW w:w="4465" w:type="dxa"/>
            <w:tcBorders>
              <w:top w:val="nil"/>
              <w:left w:val="single" w:sz="8" w:space="0" w:color="auto"/>
              <w:bottom w:val="single" w:sz="4" w:space="0" w:color="auto"/>
              <w:right w:val="single" w:sz="4" w:space="0" w:color="auto"/>
            </w:tcBorders>
            <w:shd w:val="clear" w:color="auto" w:fill="auto"/>
            <w:hideMark/>
          </w:tcPr>
          <w:p w:rsidR="009E1EC4" w:rsidRPr="00DC7A2A" w:rsidRDefault="009E1EC4"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t>Pacto por la erradicación del trabajo infantil</w:t>
            </w: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Trabajo infantil y juvenil</w:t>
            </w:r>
          </w:p>
        </w:tc>
        <w:tc>
          <w:tcPr>
            <w:tcW w:w="4400" w:type="dxa"/>
            <w:tcBorders>
              <w:top w:val="nil"/>
              <w:left w:val="nil"/>
              <w:bottom w:val="single" w:sz="4" w:space="0" w:color="auto"/>
              <w:right w:val="single" w:sz="8" w:space="0" w:color="auto"/>
            </w:tcBorders>
            <w:shd w:val="clear" w:color="auto" w:fill="auto"/>
            <w:hideMark/>
          </w:tcPr>
          <w:p w:rsidR="0073244D" w:rsidRPr="009311E8" w:rsidRDefault="0073244D" w:rsidP="0091449B">
            <w:pPr>
              <w:spacing w:after="0" w:line="240" w:lineRule="auto"/>
              <w:jc w:val="both"/>
              <w:rPr>
                <w:rFonts w:eastAsia="Times New Roman" w:cstheme="minorHAnsi"/>
                <w:b/>
                <w:color w:val="000000"/>
                <w:sz w:val="18"/>
                <w:szCs w:val="18"/>
                <w:lang w:val="es-ES" w:eastAsia="es-CO"/>
              </w:rPr>
            </w:pPr>
            <w:r w:rsidRPr="009311E8">
              <w:rPr>
                <w:rFonts w:eastAsia="Times New Roman" w:cstheme="minorHAnsi"/>
                <w:b/>
                <w:color w:val="000000"/>
                <w:sz w:val="18"/>
                <w:szCs w:val="18"/>
                <w:lang w:val="es-ES" w:eastAsia="es-CO"/>
              </w:rPr>
              <w:t>Año 2012</w:t>
            </w:r>
          </w:p>
          <w:p w:rsidR="0073244D" w:rsidRPr="009311E8" w:rsidRDefault="0073244D" w:rsidP="0091449B">
            <w:pPr>
              <w:numPr>
                <w:ilvl w:val="0"/>
                <w:numId w:val="5"/>
              </w:numPr>
              <w:spacing w:after="0" w:line="240" w:lineRule="auto"/>
              <w:contextualSpacing/>
              <w:jc w:val="both"/>
              <w:rPr>
                <w:rFonts w:eastAsia="Times New Roman" w:cstheme="minorHAnsi"/>
                <w:color w:val="000000"/>
                <w:sz w:val="18"/>
                <w:szCs w:val="18"/>
                <w:lang w:val="es-ES" w:eastAsia="es-CO"/>
              </w:rPr>
            </w:pPr>
            <w:r w:rsidRPr="009311E8">
              <w:rPr>
                <w:rFonts w:eastAsia="Times New Roman" w:cstheme="minorHAnsi"/>
                <w:color w:val="000000"/>
                <w:sz w:val="18"/>
                <w:szCs w:val="18"/>
                <w:lang w:val="es-ES" w:eastAsia="es-CO"/>
              </w:rPr>
              <w:t>Levantamiento de la línea de Base para prevenir peores formas de trabajo infantil en el Distrito,  250 NNA en condición de trabajo infantil fueron ingresados en el SIRITI para posterior intervención y seguimiento.</w:t>
            </w:r>
          </w:p>
          <w:p w:rsidR="0073244D" w:rsidRPr="009311E8" w:rsidRDefault="0073244D" w:rsidP="0091449B">
            <w:pPr>
              <w:numPr>
                <w:ilvl w:val="0"/>
                <w:numId w:val="5"/>
              </w:numPr>
              <w:spacing w:after="0" w:line="240" w:lineRule="auto"/>
              <w:contextualSpacing/>
              <w:jc w:val="both"/>
              <w:rPr>
                <w:rFonts w:eastAsia="Times New Roman" w:cstheme="minorHAnsi"/>
                <w:color w:val="000000"/>
                <w:sz w:val="18"/>
                <w:szCs w:val="18"/>
                <w:lang w:val="es-ES" w:eastAsia="es-CO"/>
              </w:rPr>
            </w:pPr>
            <w:r w:rsidRPr="009311E8">
              <w:rPr>
                <w:rFonts w:cstheme="minorHAnsi"/>
                <w:sz w:val="18"/>
                <w:szCs w:val="18"/>
                <w:lang w:val="es-ES"/>
              </w:rPr>
              <w:t>Conformación del Comité Distrital para la Prevención de las PFTI</w:t>
            </w:r>
          </w:p>
          <w:p w:rsidR="0073244D" w:rsidRPr="009311E8" w:rsidRDefault="0073244D" w:rsidP="0091449B">
            <w:pPr>
              <w:numPr>
                <w:ilvl w:val="0"/>
                <w:numId w:val="5"/>
              </w:numPr>
              <w:spacing w:after="0" w:line="240" w:lineRule="auto"/>
              <w:contextualSpacing/>
              <w:jc w:val="both"/>
              <w:rPr>
                <w:rFonts w:eastAsia="Times New Roman" w:cstheme="minorHAnsi"/>
                <w:color w:val="000000"/>
                <w:sz w:val="18"/>
                <w:szCs w:val="18"/>
                <w:lang w:val="es-ES" w:eastAsia="es-CO"/>
              </w:rPr>
            </w:pPr>
            <w:r w:rsidRPr="009311E8">
              <w:rPr>
                <w:rFonts w:eastAsia="Times New Roman" w:cstheme="minorHAnsi"/>
                <w:color w:val="000000"/>
                <w:sz w:val="18"/>
                <w:szCs w:val="18"/>
                <w:lang w:val="es-ES" w:eastAsia="es-CO"/>
              </w:rPr>
              <w:t>Conmemoración del Día Internacional contra el Trabajo Infantil (12 de Junio), en esta jornada se visitaron instituciones Educativas y lugares representativos de la ciudad. Personas sensibilizadas: 500.</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29 Jornadas de Sensibilización sobre la problemática en la Comunidad.</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815 personas sensibilizadas durante estas jornadas.</w:t>
            </w:r>
          </w:p>
          <w:p w:rsidR="0073244D" w:rsidRPr="009311E8" w:rsidRDefault="0073244D" w:rsidP="0091449B">
            <w:pPr>
              <w:spacing w:after="200" w:line="240" w:lineRule="auto"/>
              <w:contextualSpacing/>
              <w:jc w:val="both"/>
              <w:rPr>
                <w:rFonts w:cstheme="minorHAnsi"/>
                <w:b/>
                <w:sz w:val="18"/>
                <w:szCs w:val="18"/>
                <w:lang w:val="es-ES"/>
              </w:rPr>
            </w:pPr>
            <w:r w:rsidRPr="009311E8">
              <w:rPr>
                <w:rFonts w:cstheme="minorHAnsi"/>
                <w:b/>
                <w:sz w:val="18"/>
                <w:szCs w:val="18"/>
                <w:lang w:val="es-ES"/>
              </w:rPr>
              <w:t>Año 2013</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Definición de la matriz de oferta del Distrito, se beneficiaron  150 niños y niñas con sus familias respectivas. </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Campaña contra el trabajo infantil se  sensibilizaron ciudadanos Barranquilleros al no trabajo de los NNA, se contó con la participación de 400 niños, niñas y adolescentes y 100 docentes. </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Celebración del Día Mundial contra el Trabajo Infantil (12 de Junio) se llevó a cabo exposición artística con los mejores dibujos de los NNA de la ciudad. La actividad contó con la presencia del Comité Departamental de Erradicación del </w:t>
            </w:r>
            <w:r w:rsidRPr="009311E8">
              <w:rPr>
                <w:rFonts w:cstheme="minorHAnsi"/>
                <w:sz w:val="18"/>
                <w:szCs w:val="18"/>
                <w:lang w:val="es-ES"/>
              </w:rPr>
              <w:lastRenderedPageBreak/>
              <w:t xml:space="preserve">Trabajo Infantil junto a entidades públicas y privadas. </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En el marco de </w:t>
            </w:r>
            <w:proofErr w:type="spellStart"/>
            <w:r w:rsidRPr="009311E8">
              <w:rPr>
                <w:rFonts w:cstheme="minorHAnsi"/>
                <w:sz w:val="18"/>
                <w:szCs w:val="18"/>
                <w:lang w:val="es-ES"/>
              </w:rPr>
              <w:t>PROfest</w:t>
            </w:r>
            <w:proofErr w:type="spellEnd"/>
            <w:r w:rsidRPr="009311E8">
              <w:rPr>
                <w:rFonts w:cstheme="minorHAnsi"/>
                <w:sz w:val="18"/>
                <w:szCs w:val="18"/>
                <w:lang w:val="es-ES"/>
              </w:rPr>
              <w:t>, se lanzó la convocatoria de proyectos de innovación social para la prevención del trabajo infantil, dirigida a organizaciones juveniles en el Distrito. La propuesta que obtuvo el premio fue presentada por la ASOCIACION COLECTIVO DE MUJERES AL DERECHO, con el proyecto titulado “CAMPAÑA DE PREVENCION Y SENSIBILIZACION DEL TRABAJO INFANTIL EN BARRANQUILLA: TIEMPO DE DISFUTAR LA NIÑEZ”.</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Participación en el FORO organizado por la Gobernación del Atlántico para presentar los avances del Distrito en Prevención del Trabajo Infantil, realizado el 20 de Noviembre del 2013.</w:t>
            </w:r>
          </w:p>
          <w:p w:rsidR="0073244D" w:rsidRPr="009311E8" w:rsidRDefault="0073244D" w:rsidP="0091449B">
            <w:pPr>
              <w:spacing w:after="200" w:line="240" w:lineRule="auto"/>
              <w:contextualSpacing/>
              <w:jc w:val="both"/>
              <w:rPr>
                <w:rFonts w:cstheme="minorHAnsi"/>
                <w:b/>
                <w:sz w:val="18"/>
                <w:szCs w:val="18"/>
                <w:lang w:val="es-ES"/>
              </w:rPr>
            </w:pPr>
            <w:r w:rsidRPr="009311E8">
              <w:rPr>
                <w:rFonts w:cstheme="minorHAnsi"/>
                <w:b/>
                <w:sz w:val="18"/>
                <w:szCs w:val="18"/>
                <w:lang w:val="es-ES"/>
              </w:rPr>
              <w:t>Año 2015:</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En Marzo 5 de 2015 se recibe la cabeza de la Secretaria Técnica del CIETI, por medio de la cual se han llevado acabo 6 Secretarias técnicas hasta la fecha. </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Se dio inicio a un programa de intervención integral con el fin de restablecer los derechos vulnerados a los niños, niñas y adolescentes en situación de riesgo o explotación Laboral, captados en las dos jornadas de búsquedas activas que se llevaron a cabo en el sector del mercado público Captando 11 NNA  y en el barrio las Flores Captando 16 NNA.  </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Hasta la fecha se cuenta con 18 NNA barrio las Flores, 16 NNA Barrio las Américas y 36 NNA Barrio Bendición de Dios, beneficiarios del programa. </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t xml:space="preserve">La Celebración del día del niño se realizó Por medio de una Feria </w:t>
            </w:r>
            <w:proofErr w:type="spellStart"/>
            <w:r w:rsidRPr="009311E8">
              <w:rPr>
                <w:rFonts w:cstheme="minorHAnsi"/>
                <w:sz w:val="18"/>
                <w:szCs w:val="18"/>
                <w:lang w:val="es-ES"/>
              </w:rPr>
              <w:t>BiBa</w:t>
            </w:r>
            <w:proofErr w:type="spellEnd"/>
            <w:r w:rsidRPr="009311E8">
              <w:rPr>
                <w:rFonts w:cstheme="minorHAnsi"/>
                <w:sz w:val="18"/>
                <w:szCs w:val="18"/>
                <w:lang w:val="es-ES"/>
              </w:rPr>
              <w:t xml:space="preserve"> en el barrio las Nieves, el 24 de Abril de 2015. Dirigida a más de 1000 Niños de la ciudad y donde se contó con la participación de 125 NNA en situación de riesgo o explotación laboral. </w:t>
            </w:r>
          </w:p>
          <w:p w:rsidR="0073244D" w:rsidRPr="009311E8" w:rsidRDefault="0073244D" w:rsidP="0091449B">
            <w:pPr>
              <w:numPr>
                <w:ilvl w:val="0"/>
                <w:numId w:val="6"/>
              </w:numPr>
              <w:spacing w:after="200" w:line="240" w:lineRule="auto"/>
              <w:contextualSpacing/>
              <w:jc w:val="both"/>
              <w:rPr>
                <w:rFonts w:cstheme="minorHAnsi"/>
                <w:sz w:val="18"/>
                <w:szCs w:val="18"/>
                <w:lang w:val="es-ES"/>
              </w:rPr>
            </w:pPr>
            <w:r w:rsidRPr="009311E8">
              <w:rPr>
                <w:rFonts w:cstheme="minorHAnsi"/>
                <w:sz w:val="18"/>
                <w:szCs w:val="18"/>
                <w:lang w:val="es-ES"/>
              </w:rPr>
              <w:lastRenderedPageBreak/>
              <w:t xml:space="preserve">En la semana del 8 al 11 de junio se realizó la campaña se sensibilización y socialización en redes sociales sobre el Trabajo Infantil, teniendo un alcanza de 54386 usuarios de las diferentes redes sociales. </w:t>
            </w:r>
          </w:p>
          <w:p w:rsidR="009E1EC4" w:rsidRPr="009311E8" w:rsidRDefault="0073244D" w:rsidP="0091449B">
            <w:pPr>
              <w:pStyle w:val="Prrafodelista"/>
              <w:numPr>
                <w:ilvl w:val="0"/>
                <w:numId w:val="6"/>
              </w:numPr>
              <w:spacing w:after="0" w:line="240" w:lineRule="auto"/>
              <w:jc w:val="both"/>
              <w:rPr>
                <w:rFonts w:eastAsia="Times New Roman" w:cs="Times New Roman"/>
                <w:color w:val="000000"/>
                <w:sz w:val="18"/>
                <w:szCs w:val="18"/>
                <w:lang w:eastAsia="es-CO"/>
              </w:rPr>
            </w:pPr>
            <w:r w:rsidRPr="009311E8">
              <w:rPr>
                <w:rFonts w:cstheme="minorHAnsi"/>
                <w:sz w:val="18"/>
                <w:szCs w:val="18"/>
              </w:rPr>
              <w:t xml:space="preserve">El 12 se llevó acabo la celebración de Día mundial contra el Trabajo Infantil por medio de una socialización en la estación principal del </w:t>
            </w:r>
            <w:proofErr w:type="spellStart"/>
            <w:r w:rsidRPr="009311E8">
              <w:rPr>
                <w:rFonts w:cstheme="minorHAnsi"/>
                <w:sz w:val="18"/>
                <w:szCs w:val="18"/>
              </w:rPr>
              <w:t>Transmetro</w:t>
            </w:r>
            <w:proofErr w:type="spellEnd"/>
            <w:r w:rsidRPr="009311E8">
              <w:rPr>
                <w:rFonts w:cstheme="minorHAnsi"/>
                <w:sz w:val="18"/>
                <w:szCs w:val="18"/>
              </w:rPr>
              <w:t xml:space="preserve">  </w:t>
            </w:r>
            <w:proofErr w:type="spellStart"/>
            <w:r w:rsidRPr="009311E8">
              <w:rPr>
                <w:rFonts w:cstheme="minorHAnsi"/>
                <w:sz w:val="18"/>
                <w:szCs w:val="18"/>
              </w:rPr>
              <w:t>Joe</w:t>
            </w:r>
            <w:proofErr w:type="spellEnd"/>
            <w:r w:rsidRPr="009311E8">
              <w:rPr>
                <w:rFonts w:cstheme="minorHAnsi"/>
                <w:sz w:val="18"/>
                <w:szCs w:val="18"/>
              </w:rPr>
              <w:t xml:space="preserve"> Arroyo, luego se hizo presencia en la bomba de gasolina “el muñeco”, para luego llegar a la calle 85 con 46 esquina y clausurando </w:t>
            </w:r>
            <w:r w:rsidR="009311E8" w:rsidRPr="009311E8">
              <w:rPr>
                <w:rFonts w:cstheme="minorHAnsi"/>
                <w:sz w:val="18"/>
                <w:szCs w:val="18"/>
              </w:rPr>
              <w:t xml:space="preserve">conmemorativo al día, teniendo la atención de alrededor de 1.000 Barranquilleros </w:t>
            </w:r>
            <w:r w:rsidRPr="009311E8">
              <w:rPr>
                <w:rFonts w:cstheme="minorHAnsi"/>
                <w:sz w:val="18"/>
                <w:szCs w:val="18"/>
              </w:rPr>
              <w:t>la celebración en la intendencia Fluvial con un acto.</w:t>
            </w:r>
          </w:p>
        </w:tc>
      </w:tr>
      <w:tr w:rsidR="009E1EC4" w:rsidRPr="00DC7A2A" w:rsidTr="00256FF7">
        <w:trPr>
          <w:trHeight w:val="576"/>
        </w:trPr>
        <w:tc>
          <w:tcPr>
            <w:tcW w:w="4465" w:type="dxa"/>
            <w:vMerge w:val="restart"/>
            <w:tcBorders>
              <w:top w:val="nil"/>
              <w:left w:val="single" w:sz="8" w:space="0" w:color="auto"/>
              <w:bottom w:val="single" w:sz="4" w:space="0" w:color="000000"/>
              <w:right w:val="single" w:sz="4" w:space="0" w:color="auto"/>
            </w:tcBorders>
            <w:shd w:val="clear" w:color="auto" w:fill="auto"/>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lastRenderedPageBreak/>
              <w:t>Pacto por el empleo como un servicio público</w:t>
            </w: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Política laboral en estrategias de desarrollo sectorial</w:t>
            </w:r>
          </w:p>
        </w:tc>
        <w:tc>
          <w:tcPr>
            <w:tcW w:w="4400" w:type="dxa"/>
            <w:tcBorders>
              <w:top w:val="nil"/>
              <w:left w:val="nil"/>
              <w:bottom w:val="single" w:sz="4" w:space="0" w:color="auto"/>
              <w:right w:val="single" w:sz="8" w:space="0" w:color="auto"/>
            </w:tcBorders>
            <w:shd w:val="clear" w:color="auto" w:fill="auto"/>
            <w:hideMark/>
          </w:tcPr>
          <w:p w:rsidR="009E1EC4" w:rsidRPr="00C46F17" w:rsidRDefault="003D4621" w:rsidP="003D4621">
            <w:pPr>
              <w:spacing w:after="0" w:line="240" w:lineRule="auto"/>
              <w:jc w:val="both"/>
              <w:rPr>
                <w:rFonts w:eastAsia="Times New Roman" w:cs="Times New Roman"/>
                <w:color w:val="000000"/>
                <w:sz w:val="18"/>
                <w:szCs w:val="18"/>
                <w:lang w:eastAsia="es-CO"/>
              </w:rPr>
            </w:pPr>
            <w:r>
              <w:rPr>
                <w:sz w:val="18"/>
                <w:szCs w:val="18"/>
              </w:rPr>
              <w:t>-</w:t>
            </w:r>
            <w:r w:rsidR="00101341">
              <w:rPr>
                <w:sz w:val="18"/>
                <w:szCs w:val="18"/>
              </w:rPr>
              <w:t xml:space="preserve">La política laboral está plasmada en </w:t>
            </w:r>
            <w:r w:rsidR="00A30382" w:rsidRPr="00C46F17">
              <w:rPr>
                <w:sz w:val="18"/>
                <w:szCs w:val="18"/>
              </w:rPr>
              <w:t xml:space="preserve">El Plan Local de Empleo para Barranquilla </w:t>
            </w:r>
            <w:r w:rsidR="00101341">
              <w:rPr>
                <w:sz w:val="18"/>
                <w:szCs w:val="18"/>
              </w:rPr>
              <w:t xml:space="preserve"> que </w:t>
            </w:r>
            <w:r w:rsidR="00A30382" w:rsidRPr="00C46F17">
              <w:rPr>
                <w:sz w:val="18"/>
                <w:szCs w:val="18"/>
              </w:rPr>
              <w:t>destaca las líneas estratégicas que se deben seguir como resultado de acuerdos establecidos entre los sectores públicos, privados y comunitarios.</w:t>
            </w:r>
            <w:r w:rsidR="00C46F17" w:rsidRPr="00C46F17">
              <w:rPr>
                <w:sz w:val="18"/>
                <w:szCs w:val="18"/>
              </w:rPr>
              <w:t xml:space="preserve"> El Plan Local de Empleo se articula de acuerdo con los intereses expresados en el Plan de Desarrollo Nacional </w:t>
            </w:r>
            <w:r w:rsidR="00C46F17" w:rsidRPr="00C46F17">
              <w:rPr>
                <w:i/>
                <w:iCs/>
                <w:sz w:val="18"/>
                <w:szCs w:val="18"/>
              </w:rPr>
              <w:t xml:space="preserve">Prosperidad para Todos </w:t>
            </w:r>
            <w:r w:rsidR="00C46F17" w:rsidRPr="00C46F17">
              <w:rPr>
                <w:sz w:val="18"/>
                <w:szCs w:val="18"/>
              </w:rPr>
              <w:t>2010-2014, el cual considera la importancia de caracterizar las necesidades y vocaciones locales de cada región como una herramienta para el desarrollo económico y social. En consecuencia, la construcción de este plan se convierte en una estrategia que atiende las necesidades locales y que busca construir la ruta que nos permita, a través de alianzas públicas y privadas, reducir la pobreza, los altos indicadores de informalidad y promover la generación de empleo de calidad para todos los barranquilleros</w:t>
            </w:r>
            <w:r w:rsidR="00101341">
              <w:rPr>
                <w:sz w:val="18"/>
                <w:szCs w:val="18"/>
              </w:rPr>
              <w:t>.</w:t>
            </w:r>
          </w:p>
        </w:tc>
      </w:tr>
      <w:tr w:rsidR="009E1EC4" w:rsidRPr="00DC7A2A" w:rsidTr="00256FF7">
        <w:trPr>
          <w:trHeight w:val="576"/>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Información sobre mercados laborales en el marco del trabajo decente</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656E63"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Alianza Estratégica con el </w:t>
            </w:r>
            <w:proofErr w:type="spellStart"/>
            <w:r w:rsidRPr="009311E8">
              <w:rPr>
                <w:rFonts w:eastAsia="Times New Roman" w:cs="Times New Roman"/>
                <w:color w:val="000000"/>
                <w:sz w:val="18"/>
                <w:szCs w:val="18"/>
                <w:lang w:eastAsia="es-CO"/>
              </w:rPr>
              <w:t>Ormet</w:t>
            </w:r>
            <w:proofErr w:type="spellEnd"/>
            <w:r w:rsidRPr="009311E8">
              <w:rPr>
                <w:rFonts w:eastAsia="Times New Roman" w:cs="Times New Roman"/>
                <w:color w:val="000000"/>
                <w:sz w:val="18"/>
                <w:szCs w:val="18"/>
                <w:lang w:eastAsia="es-CO"/>
              </w:rPr>
              <w:t xml:space="preserve"> y </w:t>
            </w:r>
            <w:proofErr w:type="spellStart"/>
            <w:r w:rsidRPr="009311E8">
              <w:rPr>
                <w:rFonts w:eastAsia="Times New Roman" w:cs="Times New Roman"/>
                <w:color w:val="000000"/>
                <w:sz w:val="18"/>
                <w:szCs w:val="18"/>
                <w:lang w:eastAsia="es-CO"/>
              </w:rPr>
              <w:t>Probarranquilla</w:t>
            </w:r>
            <w:proofErr w:type="spellEnd"/>
            <w:r w:rsidRPr="009311E8">
              <w:rPr>
                <w:rFonts w:eastAsia="Times New Roman" w:cs="Times New Roman"/>
                <w:color w:val="000000"/>
                <w:sz w:val="18"/>
                <w:szCs w:val="18"/>
                <w:lang w:eastAsia="es-CO"/>
              </w:rPr>
              <w:t xml:space="preserve">, </w:t>
            </w:r>
            <w:r w:rsidR="00582810" w:rsidRPr="009311E8">
              <w:rPr>
                <w:rFonts w:eastAsia="Times New Roman" w:cs="Times New Roman"/>
                <w:color w:val="000000"/>
                <w:sz w:val="18"/>
                <w:szCs w:val="18"/>
                <w:lang w:eastAsia="es-CO"/>
              </w:rPr>
              <w:t>contando con información de primera mano de las nuevas empresas que llegan a la ciudad y que ofertan vacantes.</w:t>
            </w:r>
          </w:p>
          <w:p w:rsidR="00582810" w:rsidRPr="009311E8" w:rsidRDefault="00582810"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En la actualidad el Mercado Laboral se mueve en los nichos productivos de la Construcción, </w:t>
            </w:r>
            <w:r w:rsidR="002C0F12" w:rsidRPr="009311E8">
              <w:rPr>
                <w:rFonts w:eastAsia="Times New Roman" w:cs="Times New Roman"/>
                <w:color w:val="000000"/>
                <w:sz w:val="18"/>
                <w:szCs w:val="18"/>
                <w:lang w:eastAsia="es-CO"/>
              </w:rPr>
              <w:t>Servicios (</w:t>
            </w:r>
            <w:r w:rsidRPr="009311E8">
              <w:rPr>
                <w:rFonts w:eastAsia="Times New Roman" w:cs="Times New Roman"/>
                <w:color w:val="000000"/>
                <w:sz w:val="18"/>
                <w:szCs w:val="18"/>
                <w:lang w:eastAsia="es-CO"/>
              </w:rPr>
              <w:t xml:space="preserve">Ventas, </w:t>
            </w:r>
            <w:r w:rsidR="002C0F12" w:rsidRPr="009311E8">
              <w:rPr>
                <w:rFonts w:eastAsia="Times New Roman" w:cs="Times New Roman"/>
                <w:color w:val="000000"/>
                <w:sz w:val="18"/>
                <w:szCs w:val="18"/>
                <w:lang w:eastAsia="es-CO"/>
              </w:rPr>
              <w:t xml:space="preserve">Hotelería y </w:t>
            </w:r>
            <w:proofErr w:type="spellStart"/>
            <w:r w:rsidR="002C0F12" w:rsidRPr="009311E8">
              <w:rPr>
                <w:rFonts w:eastAsia="Times New Roman" w:cs="Times New Roman"/>
                <w:color w:val="000000"/>
                <w:sz w:val="18"/>
                <w:szCs w:val="18"/>
                <w:lang w:eastAsia="es-CO"/>
              </w:rPr>
              <w:t>Call</w:t>
            </w:r>
            <w:proofErr w:type="spellEnd"/>
            <w:r w:rsidR="002C0F12" w:rsidRPr="009311E8">
              <w:rPr>
                <w:rFonts w:eastAsia="Times New Roman" w:cs="Times New Roman"/>
                <w:color w:val="000000"/>
                <w:sz w:val="18"/>
                <w:szCs w:val="18"/>
                <w:lang w:eastAsia="es-CO"/>
              </w:rPr>
              <w:t xml:space="preserve"> Center).</w:t>
            </w:r>
          </w:p>
        </w:tc>
      </w:tr>
      <w:tr w:rsidR="009E1EC4" w:rsidRPr="00DC7A2A" w:rsidTr="00256FF7">
        <w:trPr>
          <w:trHeight w:val="288"/>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2561A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Servicio Público de Empleo y Ventanilla </w:t>
            </w:r>
            <w:r w:rsidR="006C11EA" w:rsidRPr="009311E8">
              <w:rPr>
                <w:rFonts w:eastAsia="Times New Roman" w:cs="Times New Roman"/>
                <w:color w:val="000000"/>
                <w:sz w:val="18"/>
                <w:szCs w:val="18"/>
                <w:lang w:eastAsia="es-CO"/>
              </w:rPr>
              <w:t>Ú</w:t>
            </w:r>
            <w:r w:rsidR="009E1EC4" w:rsidRPr="009311E8">
              <w:rPr>
                <w:rFonts w:eastAsia="Times New Roman" w:cs="Times New Roman"/>
                <w:color w:val="000000"/>
                <w:sz w:val="18"/>
                <w:szCs w:val="18"/>
                <w:lang w:eastAsia="es-CO"/>
              </w:rPr>
              <w:t>nica</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664D69"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Se ha consolidado el Servicio de Empleo en el territorio, </w:t>
            </w:r>
            <w:r w:rsidR="000D3916" w:rsidRPr="009311E8">
              <w:rPr>
                <w:rFonts w:eastAsia="Times New Roman" w:cs="Times New Roman"/>
                <w:color w:val="000000"/>
                <w:sz w:val="18"/>
                <w:szCs w:val="18"/>
                <w:lang w:eastAsia="es-CO"/>
              </w:rPr>
              <w:t xml:space="preserve">acercando la demanda y la oferta; </w:t>
            </w:r>
            <w:r w:rsidR="000D3916" w:rsidRPr="009311E8">
              <w:rPr>
                <w:rFonts w:eastAsia="Times New Roman" w:cs="Times New Roman"/>
                <w:color w:val="000000"/>
                <w:sz w:val="18"/>
                <w:szCs w:val="18"/>
                <w:lang w:eastAsia="es-CO"/>
              </w:rPr>
              <w:lastRenderedPageBreak/>
              <w:t xml:space="preserve">actualmente e nuestro Centro </w:t>
            </w:r>
            <w:r w:rsidR="009311E8">
              <w:rPr>
                <w:rFonts w:eastAsia="Times New Roman" w:cs="Times New Roman"/>
                <w:color w:val="000000"/>
                <w:sz w:val="18"/>
                <w:szCs w:val="18"/>
                <w:lang w:eastAsia="es-CO"/>
              </w:rPr>
              <w:t xml:space="preserve">de oportunidades del Distrito </w:t>
            </w:r>
            <w:r w:rsidR="000D3916" w:rsidRPr="009311E8">
              <w:rPr>
                <w:rFonts w:eastAsia="Times New Roman" w:cs="Times New Roman"/>
                <w:color w:val="000000"/>
                <w:sz w:val="18"/>
                <w:szCs w:val="18"/>
                <w:lang w:eastAsia="es-CO"/>
              </w:rPr>
              <w:t xml:space="preserve">contamos con: </w:t>
            </w:r>
            <w:r w:rsidR="00AA2A3F" w:rsidRPr="009311E8">
              <w:rPr>
                <w:rFonts w:eastAsia="Times New Roman" w:cs="Times New Roman"/>
                <w:color w:val="000000"/>
                <w:sz w:val="18"/>
                <w:szCs w:val="18"/>
                <w:lang w:eastAsia="es-CO"/>
              </w:rPr>
              <w:t>19030 usuarios inscritos; 1410 empleadores; 12600 Vacantes Gestionadas; 2946 Vacantes Ocupadas (cabe anotar que este dato es de las empresas que</w:t>
            </w:r>
            <w:r w:rsidR="00F8639C" w:rsidRPr="009311E8">
              <w:rPr>
                <w:rFonts w:eastAsia="Times New Roman" w:cs="Times New Roman"/>
                <w:color w:val="000000"/>
                <w:sz w:val="18"/>
                <w:szCs w:val="18"/>
                <w:lang w:eastAsia="es-CO"/>
              </w:rPr>
              <w:t xml:space="preserve"> nos </w:t>
            </w:r>
            <w:r w:rsidR="00AA2A3F" w:rsidRPr="009311E8">
              <w:rPr>
                <w:rFonts w:eastAsia="Times New Roman" w:cs="Times New Roman"/>
                <w:color w:val="000000"/>
                <w:sz w:val="18"/>
                <w:szCs w:val="18"/>
                <w:lang w:eastAsia="es-CO"/>
              </w:rPr>
              <w:t xml:space="preserve"> hacen </w:t>
            </w:r>
            <w:r w:rsidR="006F0D6B" w:rsidRPr="009311E8">
              <w:rPr>
                <w:rFonts w:eastAsia="Times New Roman" w:cs="Times New Roman"/>
                <w:color w:val="000000"/>
                <w:sz w:val="18"/>
                <w:szCs w:val="18"/>
                <w:lang w:eastAsia="es-CO"/>
              </w:rPr>
              <w:t>retroalimentación,</w:t>
            </w:r>
            <w:r w:rsidR="00F8639C" w:rsidRPr="009311E8">
              <w:rPr>
                <w:rFonts w:eastAsia="Times New Roman" w:cs="Times New Roman"/>
                <w:color w:val="000000"/>
                <w:sz w:val="18"/>
                <w:szCs w:val="18"/>
                <w:lang w:eastAsia="es-CO"/>
              </w:rPr>
              <w:t xml:space="preserve"> el proceso de seguimiento es complejo </w:t>
            </w:r>
            <w:r w:rsidR="00D25B84" w:rsidRPr="009311E8">
              <w:rPr>
                <w:rFonts w:eastAsia="Times New Roman" w:cs="Times New Roman"/>
                <w:color w:val="000000"/>
                <w:sz w:val="18"/>
                <w:szCs w:val="18"/>
                <w:lang w:eastAsia="es-CO"/>
              </w:rPr>
              <w:t>porque</w:t>
            </w:r>
            <w:r w:rsidR="00F8639C" w:rsidRPr="009311E8">
              <w:rPr>
                <w:rFonts w:eastAsia="Times New Roman" w:cs="Times New Roman"/>
                <w:color w:val="000000"/>
                <w:sz w:val="18"/>
                <w:szCs w:val="18"/>
                <w:lang w:eastAsia="es-CO"/>
              </w:rPr>
              <w:t xml:space="preserve"> </w:t>
            </w:r>
            <w:r w:rsidR="00D25B84" w:rsidRPr="009311E8">
              <w:rPr>
                <w:rFonts w:eastAsia="Times New Roman" w:cs="Times New Roman"/>
                <w:color w:val="000000"/>
                <w:sz w:val="18"/>
                <w:szCs w:val="18"/>
                <w:lang w:eastAsia="es-CO"/>
              </w:rPr>
              <w:t>las empresas no reportan el personal que contratan).</w:t>
            </w:r>
          </w:p>
          <w:p w:rsidR="00D25B84" w:rsidRPr="009311E8" w:rsidRDefault="00D25B84"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En lo referente a  la Ventanilla Única se ha dado muestras del apoyo que se tiene con las diferentes instituciones</w:t>
            </w:r>
            <w:r w:rsidR="006F0D6B" w:rsidRPr="009311E8">
              <w:rPr>
                <w:rFonts w:eastAsia="Times New Roman" w:cs="Times New Roman"/>
                <w:color w:val="000000"/>
                <w:sz w:val="18"/>
                <w:szCs w:val="18"/>
                <w:lang w:eastAsia="es-CO"/>
              </w:rPr>
              <w:t xml:space="preserve">, ya que se trabaja </w:t>
            </w:r>
            <w:r w:rsidRPr="009311E8">
              <w:rPr>
                <w:rFonts w:eastAsia="Times New Roman" w:cs="Times New Roman"/>
                <w:color w:val="000000"/>
                <w:sz w:val="18"/>
                <w:szCs w:val="18"/>
                <w:lang w:eastAsia="es-CO"/>
              </w:rPr>
              <w:t xml:space="preserve"> toda la oferta pública de la </w:t>
            </w:r>
            <w:r w:rsidR="006F0D6B" w:rsidRPr="009311E8">
              <w:rPr>
                <w:rFonts w:eastAsia="Times New Roman" w:cs="Times New Roman"/>
                <w:color w:val="000000"/>
                <w:sz w:val="18"/>
                <w:szCs w:val="18"/>
                <w:lang w:eastAsia="es-CO"/>
              </w:rPr>
              <w:t xml:space="preserve">Alcaldía, Sena, </w:t>
            </w:r>
            <w:proofErr w:type="spellStart"/>
            <w:r w:rsidR="006F0D6B" w:rsidRPr="009311E8">
              <w:rPr>
                <w:rFonts w:eastAsia="Times New Roman" w:cs="Times New Roman"/>
                <w:color w:val="000000"/>
                <w:sz w:val="18"/>
                <w:szCs w:val="18"/>
                <w:lang w:eastAsia="es-CO"/>
              </w:rPr>
              <w:t>Dps</w:t>
            </w:r>
            <w:proofErr w:type="spellEnd"/>
            <w:r w:rsidR="006F0D6B" w:rsidRPr="009311E8">
              <w:rPr>
                <w:rFonts w:eastAsia="Times New Roman" w:cs="Times New Roman"/>
                <w:color w:val="000000"/>
                <w:sz w:val="18"/>
                <w:szCs w:val="18"/>
                <w:lang w:eastAsia="es-CO"/>
              </w:rPr>
              <w:t xml:space="preserve">, Unidad de Victimas, </w:t>
            </w:r>
            <w:r w:rsidRPr="009311E8">
              <w:rPr>
                <w:rFonts w:eastAsia="Times New Roman" w:cs="Times New Roman"/>
                <w:color w:val="000000"/>
                <w:sz w:val="18"/>
                <w:szCs w:val="18"/>
                <w:lang w:eastAsia="es-CO"/>
              </w:rPr>
              <w:t xml:space="preserve">  buenos resultados </w:t>
            </w:r>
          </w:p>
        </w:tc>
      </w:tr>
      <w:tr w:rsidR="009E1EC4" w:rsidRPr="00DC7A2A" w:rsidTr="00256FF7">
        <w:trPr>
          <w:trHeight w:val="864"/>
        </w:trPr>
        <w:tc>
          <w:tcPr>
            <w:tcW w:w="4465" w:type="dxa"/>
            <w:vMerge w:val="restart"/>
            <w:tcBorders>
              <w:top w:val="nil"/>
              <w:left w:val="single" w:sz="8" w:space="0" w:color="auto"/>
              <w:bottom w:val="single" w:sz="4" w:space="0" w:color="000000"/>
              <w:right w:val="single" w:sz="4" w:space="0" w:color="auto"/>
            </w:tcBorders>
            <w:shd w:val="clear" w:color="auto" w:fill="auto"/>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lastRenderedPageBreak/>
              <w:t xml:space="preserve">Pacto </w:t>
            </w:r>
            <w:r w:rsidR="00B347BF" w:rsidRPr="00DC7A2A">
              <w:rPr>
                <w:rFonts w:eastAsia="Times New Roman" w:cs="Times New Roman"/>
                <w:color w:val="000000"/>
                <w:sz w:val="18"/>
                <w:szCs w:val="18"/>
                <w:lang w:eastAsia="es-CO"/>
              </w:rPr>
              <w:t>por la calidad del t</w:t>
            </w:r>
            <w:r w:rsidRPr="00DC7A2A">
              <w:rPr>
                <w:rFonts w:eastAsia="Times New Roman" w:cs="Times New Roman"/>
                <w:color w:val="000000"/>
                <w:sz w:val="18"/>
                <w:szCs w:val="18"/>
                <w:lang w:eastAsia="es-CO"/>
              </w:rPr>
              <w:t xml:space="preserve">rabajo y las </w:t>
            </w:r>
            <w:r w:rsidR="00B347BF" w:rsidRPr="00DC7A2A">
              <w:rPr>
                <w:rFonts w:eastAsia="Times New Roman" w:cs="Times New Roman"/>
                <w:color w:val="000000"/>
                <w:sz w:val="18"/>
                <w:szCs w:val="18"/>
                <w:lang w:eastAsia="es-CO"/>
              </w:rPr>
              <w:t>empresas p</w:t>
            </w:r>
            <w:r w:rsidRPr="00DC7A2A">
              <w:rPr>
                <w:rFonts w:eastAsia="Times New Roman" w:cs="Times New Roman"/>
                <w:color w:val="000000"/>
                <w:sz w:val="18"/>
                <w:szCs w:val="18"/>
                <w:lang w:eastAsia="es-CO"/>
              </w:rPr>
              <w:t>roductivas</w:t>
            </w: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Oportunidades a población con discapacidad / Víctimas del conflicto armado / Mujeres / Trata de personas / Jóvenes / Migr</w:t>
            </w:r>
            <w:r w:rsidR="007430B3" w:rsidRPr="009311E8">
              <w:rPr>
                <w:rFonts w:eastAsia="Times New Roman" w:cs="Times New Roman"/>
                <w:color w:val="000000"/>
                <w:sz w:val="18"/>
                <w:szCs w:val="18"/>
                <w:lang w:eastAsia="es-CO"/>
              </w:rPr>
              <w:t>a</w:t>
            </w:r>
            <w:r w:rsidRPr="009311E8">
              <w:rPr>
                <w:rFonts w:eastAsia="Times New Roman" w:cs="Times New Roman"/>
                <w:color w:val="000000"/>
                <w:sz w:val="18"/>
                <w:szCs w:val="18"/>
                <w:lang w:eastAsia="es-CO"/>
              </w:rPr>
              <w:t>ntes</w:t>
            </w:r>
          </w:p>
        </w:tc>
        <w:tc>
          <w:tcPr>
            <w:tcW w:w="4400" w:type="dxa"/>
            <w:tcBorders>
              <w:top w:val="nil"/>
              <w:left w:val="nil"/>
              <w:bottom w:val="single" w:sz="4" w:space="0" w:color="auto"/>
              <w:right w:val="single" w:sz="8" w:space="0" w:color="auto"/>
            </w:tcBorders>
            <w:shd w:val="clear" w:color="auto" w:fill="auto"/>
            <w:hideMark/>
          </w:tcPr>
          <w:p w:rsidR="00371F82" w:rsidRDefault="00371F82" w:rsidP="0091449B">
            <w:pPr>
              <w:pStyle w:val="Prrafodelista"/>
              <w:numPr>
                <w:ilvl w:val="0"/>
                <w:numId w:val="1"/>
              </w:numPr>
              <w:spacing w:after="0" w:line="240" w:lineRule="auto"/>
              <w:rPr>
                <w:rFonts w:eastAsia="Times New Roman" w:cs="Times New Roman"/>
                <w:color w:val="000000"/>
                <w:sz w:val="18"/>
                <w:szCs w:val="18"/>
                <w:lang w:eastAsia="es-CO"/>
              </w:rPr>
            </w:pPr>
            <w:r>
              <w:rPr>
                <w:rFonts w:eastAsia="Times New Roman" w:cs="Times New Roman"/>
                <w:color w:val="000000"/>
                <w:sz w:val="18"/>
                <w:szCs w:val="18"/>
                <w:lang w:eastAsia="es-CO"/>
              </w:rPr>
              <w:t>Desde el Centro de Oportunidades se alcanzaron los siguientes logros:</w:t>
            </w:r>
          </w:p>
          <w:p w:rsidR="009E1EC4" w:rsidRPr="009311E8" w:rsidRDefault="00926857" w:rsidP="00371F82">
            <w:pPr>
              <w:pStyle w:val="Prrafodelista"/>
              <w:spacing w:after="0" w:line="240" w:lineRule="auto"/>
              <w:ind w:left="390"/>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Se </w:t>
            </w:r>
            <w:r w:rsidR="0091449B" w:rsidRPr="009311E8">
              <w:rPr>
                <w:rFonts w:eastAsia="Times New Roman" w:cs="Times New Roman"/>
                <w:color w:val="000000"/>
                <w:sz w:val="18"/>
                <w:szCs w:val="18"/>
                <w:lang w:eastAsia="es-CO"/>
              </w:rPr>
              <w:t>implementó</w:t>
            </w:r>
            <w:r w:rsidRPr="009311E8">
              <w:rPr>
                <w:rFonts w:eastAsia="Times New Roman" w:cs="Times New Roman"/>
                <w:color w:val="000000"/>
                <w:sz w:val="18"/>
                <w:szCs w:val="18"/>
                <w:lang w:eastAsia="es-CO"/>
              </w:rPr>
              <w:t xml:space="preserve"> un Piloto de Atención Diferencial  para Discapacitados</w:t>
            </w:r>
            <w:r w:rsidR="006140EE" w:rsidRPr="009311E8">
              <w:rPr>
                <w:rFonts w:eastAsia="Times New Roman" w:cs="Times New Roman"/>
                <w:color w:val="000000"/>
                <w:sz w:val="18"/>
                <w:szCs w:val="18"/>
                <w:lang w:eastAsia="es-CO"/>
              </w:rPr>
              <w:t>, logrando realizar el proceso completo de Orientación, Formación y Enganche laboral a 16 personas en condición de discapacidad.</w:t>
            </w:r>
          </w:p>
          <w:p w:rsidR="00C17487" w:rsidRPr="009311E8" w:rsidRDefault="00C17487"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Dentro de las pob</w:t>
            </w:r>
            <w:r w:rsidR="00BF1D59" w:rsidRPr="009311E8">
              <w:rPr>
                <w:rFonts w:eastAsia="Times New Roman" w:cs="Times New Roman"/>
                <w:color w:val="000000"/>
                <w:sz w:val="18"/>
                <w:szCs w:val="18"/>
                <w:lang w:eastAsia="es-CO"/>
              </w:rPr>
              <w:t xml:space="preserve">laciones focalizadas con las que se </w:t>
            </w:r>
            <w:r w:rsidR="00F322CD" w:rsidRPr="009311E8">
              <w:rPr>
                <w:rFonts w:eastAsia="Times New Roman" w:cs="Times New Roman"/>
                <w:color w:val="000000"/>
                <w:sz w:val="18"/>
                <w:szCs w:val="18"/>
                <w:lang w:eastAsia="es-CO"/>
              </w:rPr>
              <w:t>trabaja</w:t>
            </w:r>
            <w:r w:rsidR="00BF1D59" w:rsidRPr="009311E8">
              <w:rPr>
                <w:rFonts w:eastAsia="Times New Roman" w:cs="Times New Roman"/>
                <w:color w:val="000000"/>
                <w:sz w:val="18"/>
                <w:szCs w:val="18"/>
                <w:lang w:eastAsia="es-CO"/>
              </w:rPr>
              <w:t xml:space="preserve"> están las Víctimas del Conflicto </w:t>
            </w:r>
            <w:r w:rsidR="00F322CD" w:rsidRPr="009311E8">
              <w:rPr>
                <w:rFonts w:eastAsia="Times New Roman" w:cs="Times New Roman"/>
                <w:color w:val="000000"/>
                <w:sz w:val="18"/>
                <w:szCs w:val="18"/>
                <w:lang w:eastAsia="es-CO"/>
              </w:rPr>
              <w:t>Armado, realizando convocatorias, socialización, formación e Intermediación Laboral.</w:t>
            </w:r>
          </w:p>
          <w:p w:rsidR="00F322CD" w:rsidRPr="009311E8" w:rsidRDefault="00F322CD"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Se trabaja con los Jóvenes en Acción y con los de Universidad al Barrio; consolidando una alianza con el </w:t>
            </w:r>
            <w:proofErr w:type="spellStart"/>
            <w:r w:rsidRPr="009311E8">
              <w:rPr>
                <w:rFonts w:eastAsia="Times New Roman" w:cs="Times New Roman"/>
                <w:color w:val="000000"/>
                <w:sz w:val="18"/>
                <w:szCs w:val="18"/>
                <w:lang w:eastAsia="es-CO"/>
              </w:rPr>
              <w:t>Dps</w:t>
            </w:r>
            <w:proofErr w:type="spellEnd"/>
            <w:r w:rsidRPr="009311E8">
              <w:rPr>
                <w:rFonts w:eastAsia="Times New Roman" w:cs="Times New Roman"/>
                <w:color w:val="000000"/>
                <w:sz w:val="18"/>
                <w:szCs w:val="18"/>
                <w:lang w:eastAsia="es-CO"/>
              </w:rPr>
              <w:t xml:space="preserve"> y con la Secretaria de Educación del Distrito de Barranquilla. </w:t>
            </w:r>
          </w:p>
          <w:p w:rsidR="00DC7A2A" w:rsidRPr="009311E8" w:rsidRDefault="003D3623"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Con Migrantes se les </w:t>
            </w:r>
            <w:proofErr w:type="spellStart"/>
            <w:r w:rsidRPr="009311E8">
              <w:rPr>
                <w:rFonts w:eastAsia="Times New Roman" w:cs="Times New Roman"/>
                <w:color w:val="000000"/>
                <w:sz w:val="18"/>
                <w:szCs w:val="18"/>
                <w:lang w:eastAsia="es-CO"/>
              </w:rPr>
              <w:t>esta</w:t>
            </w:r>
            <w:proofErr w:type="spellEnd"/>
            <w:r w:rsidRPr="009311E8">
              <w:rPr>
                <w:rFonts w:eastAsia="Times New Roman" w:cs="Times New Roman"/>
                <w:color w:val="000000"/>
                <w:sz w:val="18"/>
                <w:szCs w:val="18"/>
                <w:lang w:eastAsia="es-CO"/>
              </w:rPr>
              <w:t xml:space="preserve"> socializando nuestra oferta de servicios</w:t>
            </w:r>
            <w:r w:rsidR="00E75D97" w:rsidRPr="009311E8">
              <w:rPr>
                <w:rFonts w:eastAsia="Times New Roman" w:cs="Times New Roman"/>
                <w:color w:val="000000"/>
                <w:sz w:val="18"/>
                <w:szCs w:val="18"/>
                <w:lang w:eastAsia="es-CO"/>
              </w:rPr>
              <w:t xml:space="preserve">, se están gestionando oportunidades laborales para esta población y se </w:t>
            </w:r>
            <w:proofErr w:type="spellStart"/>
            <w:r w:rsidR="00E75D97" w:rsidRPr="009311E8">
              <w:rPr>
                <w:rFonts w:eastAsia="Times New Roman" w:cs="Times New Roman"/>
                <w:color w:val="000000"/>
                <w:sz w:val="18"/>
                <w:szCs w:val="18"/>
                <w:lang w:eastAsia="es-CO"/>
              </w:rPr>
              <w:t>realizo</w:t>
            </w:r>
            <w:proofErr w:type="spellEnd"/>
            <w:r w:rsidR="00E75D97" w:rsidRPr="009311E8">
              <w:rPr>
                <w:rFonts w:eastAsia="Times New Roman" w:cs="Times New Roman"/>
                <w:color w:val="000000"/>
                <w:sz w:val="18"/>
                <w:szCs w:val="18"/>
                <w:lang w:eastAsia="es-CO"/>
              </w:rPr>
              <w:t xml:space="preserve"> una Feria de Se</w:t>
            </w:r>
            <w:r w:rsidR="00DC7A2A" w:rsidRPr="009311E8">
              <w:rPr>
                <w:rFonts w:eastAsia="Times New Roman" w:cs="Times New Roman"/>
                <w:color w:val="000000"/>
                <w:sz w:val="18"/>
                <w:szCs w:val="18"/>
                <w:lang w:eastAsia="es-CO"/>
              </w:rPr>
              <w:t xml:space="preserve">rvicios en Alianza con el </w:t>
            </w:r>
            <w:proofErr w:type="spellStart"/>
            <w:r w:rsidR="00DC7A2A" w:rsidRPr="009311E8">
              <w:rPr>
                <w:rFonts w:eastAsia="Times New Roman" w:cs="Times New Roman"/>
                <w:color w:val="000000"/>
                <w:sz w:val="18"/>
                <w:szCs w:val="18"/>
                <w:lang w:eastAsia="es-CO"/>
              </w:rPr>
              <w:t>SENa</w:t>
            </w:r>
            <w:proofErr w:type="spellEnd"/>
          </w:p>
          <w:p w:rsidR="00ED1452" w:rsidRPr="009311E8" w:rsidRDefault="00ED1452" w:rsidP="0091449B">
            <w:pPr>
              <w:spacing w:after="0" w:line="240" w:lineRule="auto"/>
              <w:rPr>
                <w:rFonts w:eastAsia="Times New Roman" w:cs="Times New Roman"/>
                <w:color w:val="000000"/>
                <w:sz w:val="18"/>
                <w:szCs w:val="18"/>
                <w:lang w:eastAsia="es-CO"/>
              </w:rPr>
            </w:pPr>
          </w:p>
          <w:p w:rsidR="00ED1452" w:rsidRPr="009311E8" w:rsidRDefault="00FC53B8" w:rsidP="0091449B">
            <w:pPr>
              <w:spacing w:line="240" w:lineRule="auto"/>
              <w:jc w:val="both"/>
              <w:rPr>
                <w:rFonts w:cs="Calibri"/>
                <w:b/>
                <w:i/>
                <w:sz w:val="18"/>
                <w:szCs w:val="18"/>
              </w:rPr>
            </w:pPr>
            <w:r w:rsidRPr="009311E8">
              <w:rPr>
                <w:rFonts w:cs="Calibri"/>
                <w:sz w:val="18"/>
                <w:szCs w:val="18"/>
              </w:rPr>
              <w:t>- En el año 2012 se desarrolló</w:t>
            </w:r>
            <w:r w:rsidR="00ED1452" w:rsidRPr="009311E8">
              <w:rPr>
                <w:rFonts w:cs="Calibri"/>
                <w:sz w:val="18"/>
                <w:szCs w:val="18"/>
              </w:rPr>
              <w:t xml:space="preserve"> de un programa de emprendimiento para impulsar la formación por competencias para mujeres cabeza de hogar, en coordinación con Gente Estratégica. Se capacitaron </w:t>
            </w:r>
            <w:r w:rsidR="00ED1452" w:rsidRPr="009311E8">
              <w:rPr>
                <w:rFonts w:cs="Calibri"/>
                <w:b/>
                <w:i/>
                <w:sz w:val="18"/>
                <w:szCs w:val="18"/>
              </w:rPr>
              <w:t xml:space="preserve"> 90 mujeres en técnicas de panadería.</w:t>
            </w:r>
          </w:p>
          <w:p w:rsidR="00ED1452" w:rsidRDefault="00FC53B8" w:rsidP="0091449B">
            <w:pPr>
              <w:spacing w:after="0" w:line="240" w:lineRule="auto"/>
              <w:jc w:val="both"/>
              <w:rPr>
                <w:rFonts w:cs="Calibri"/>
                <w:sz w:val="18"/>
                <w:szCs w:val="18"/>
              </w:rPr>
            </w:pPr>
            <w:r w:rsidRPr="009311E8">
              <w:rPr>
                <w:rFonts w:cs="Calibri"/>
                <w:sz w:val="18"/>
                <w:szCs w:val="18"/>
              </w:rPr>
              <w:t xml:space="preserve">-En el año 2013 se articuló </w:t>
            </w:r>
            <w:r w:rsidR="00ED1452" w:rsidRPr="009311E8">
              <w:rPr>
                <w:rFonts w:cs="Calibri"/>
                <w:sz w:val="18"/>
                <w:szCs w:val="18"/>
              </w:rPr>
              <w:t xml:space="preserve">con el DPS se trabajó la estrategia mujeres ahorradoras en acción en donde </w:t>
            </w:r>
            <w:r w:rsidR="00ED1452" w:rsidRPr="009311E8">
              <w:rPr>
                <w:rFonts w:cs="Calibri"/>
                <w:b/>
                <w:i/>
                <w:sz w:val="18"/>
                <w:szCs w:val="18"/>
              </w:rPr>
              <w:t xml:space="preserve">670 </w:t>
            </w:r>
            <w:r w:rsidR="00ED1452" w:rsidRPr="009311E8">
              <w:rPr>
                <w:rFonts w:cs="Calibri"/>
                <w:b/>
                <w:i/>
                <w:sz w:val="18"/>
                <w:szCs w:val="18"/>
              </w:rPr>
              <w:lastRenderedPageBreak/>
              <w:t xml:space="preserve">mujeres del Distrito tuvieron la posibilidad </w:t>
            </w:r>
            <w:r w:rsidR="00ED1452" w:rsidRPr="009311E8">
              <w:rPr>
                <w:rFonts w:cs="Calibri"/>
                <w:sz w:val="18"/>
                <w:szCs w:val="18"/>
              </w:rPr>
              <w:t xml:space="preserve">de tener  acceso real al sistema micro financiero y a incentivos que fomenten la cultura del ahorro y el aseguramiento de la vida, la instalación de capacidades y la capitalización de emprendimientos productivos. </w:t>
            </w:r>
          </w:p>
          <w:p w:rsidR="00371F82" w:rsidRPr="009311E8" w:rsidRDefault="00371F82" w:rsidP="0091449B">
            <w:pPr>
              <w:spacing w:after="0" w:line="240" w:lineRule="auto"/>
              <w:jc w:val="both"/>
              <w:rPr>
                <w:rFonts w:cs="Calibri"/>
                <w:sz w:val="18"/>
                <w:szCs w:val="18"/>
              </w:rPr>
            </w:pPr>
          </w:p>
          <w:p w:rsidR="00ED1452" w:rsidRPr="009311E8" w:rsidRDefault="00371F82" w:rsidP="0091449B">
            <w:pPr>
              <w:spacing w:after="0" w:line="240" w:lineRule="auto"/>
              <w:jc w:val="both"/>
              <w:rPr>
                <w:rFonts w:cs="Calibri"/>
                <w:sz w:val="18"/>
                <w:szCs w:val="18"/>
              </w:rPr>
            </w:pPr>
            <w:r>
              <w:rPr>
                <w:rFonts w:cs="Calibri"/>
                <w:sz w:val="18"/>
                <w:szCs w:val="18"/>
              </w:rPr>
              <w:t>-</w:t>
            </w:r>
            <w:r w:rsidR="00ED1452" w:rsidRPr="009311E8">
              <w:rPr>
                <w:rFonts w:cs="Calibri"/>
                <w:sz w:val="18"/>
                <w:szCs w:val="18"/>
              </w:rPr>
              <w:t xml:space="preserve">En </w:t>
            </w:r>
            <w:r w:rsidR="00FC53B8" w:rsidRPr="009311E8">
              <w:rPr>
                <w:rFonts w:cs="Calibri"/>
                <w:sz w:val="18"/>
                <w:szCs w:val="18"/>
              </w:rPr>
              <w:t xml:space="preserve"> el año 2014 se </w:t>
            </w:r>
            <w:proofErr w:type="spellStart"/>
            <w:r w:rsidR="00FC53B8" w:rsidRPr="009311E8">
              <w:rPr>
                <w:rFonts w:cs="Calibri"/>
                <w:sz w:val="18"/>
                <w:szCs w:val="18"/>
              </w:rPr>
              <w:t>articulo</w:t>
            </w:r>
            <w:proofErr w:type="spellEnd"/>
            <w:r w:rsidR="00ED1452" w:rsidRPr="009311E8">
              <w:rPr>
                <w:rFonts w:cs="Calibri"/>
                <w:sz w:val="18"/>
                <w:szCs w:val="18"/>
              </w:rPr>
              <w:t xml:space="preserve"> con el DPS se trabajó la estrategia mujeres ahorradoras en acción en donde </w:t>
            </w:r>
            <w:r w:rsidR="00ED1452" w:rsidRPr="009311E8">
              <w:rPr>
                <w:rFonts w:cs="Calibri"/>
                <w:b/>
                <w:i/>
                <w:sz w:val="18"/>
                <w:szCs w:val="18"/>
              </w:rPr>
              <w:t xml:space="preserve">300 mujeres del Distrito tuvieron la posibilidad </w:t>
            </w:r>
            <w:r w:rsidR="00ED1452" w:rsidRPr="009311E8">
              <w:rPr>
                <w:rFonts w:cs="Calibri"/>
                <w:sz w:val="18"/>
                <w:szCs w:val="18"/>
              </w:rPr>
              <w:t xml:space="preserve">de tener  acceso real al sistema micro financiero y a incentivos que fomenten la cultura del ahorro y el aseguramiento de la vida, la instalación de capacidades y la capitalización </w:t>
            </w:r>
            <w:r w:rsidR="00FC53B8" w:rsidRPr="009311E8">
              <w:rPr>
                <w:rFonts w:cs="Calibri"/>
                <w:sz w:val="18"/>
                <w:szCs w:val="18"/>
              </w:rPr>
              <w:t>de emprendimientos productivos.</w:t>
            </w:r>
          </w:p>
        </w:tc>
      </w:tr>
      <w:tr w:rsidR="009E1EC4" w:rsidRPr="00DC7A2A" w:rsidTr="00256FF7">
        <w:trPr>
          <w:trHeight w:val="576"/>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Teletrabajo / Subcomisiones de concertación laboral y salarial</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9E1EC4" w:rsidP="0091449B">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t> </w:t>
            </w:r>
            <w:r w:rsidR="00E138E4" w:rsidRPr="009311E8">
              <w:rPr>
                <w:rFonts w:eastAsia="Times New Roman" w:cs="Times New Roman"/>
                <w:color w:val="000000"/>
                <w:sz w:val="18"/>
                <w:szCs w:val="18"/>
                <w:lang w:eastAsia="es-CO"/>
              </w:rPr>
              <w:t>La Alcaldía Distrital adoptó mediante el Decreto No. 349 de 2015 el Acuerdo suscrito con las organizaciones sindicales, en el cual se concertó un conjunto de acciones para la mejora de la relación laboral.</w:t>
            </w:r>
          </w:p>
        </w:tc>
      </w:tr>
      <w:tr w:rsidR="009E1EC4" w:rsidRPr="00DC7A2A" w:rsidTr="00256FF7">
        <w:trPr>
          <w:trHeight w:val="288"/>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Seguridad y salud en el trabajo</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CD1DF1"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Desde la Gerencia de Gestión Humana con el apoyo de la ARL y el Cuerpo Oficial de Bomberos del Distrito se desarrollan los programas sobre Seguridad y Salud en el Trabajo.</w:t>
            </w:r>
          </w:p>
        </w:tc>
      </w:tr>
      <w:tr w:rsidR="009E1EC4" w:rsidRPr="00DC7A2A" w:rsidTr="00256FF7">
        <w:trPr>
          <w:trHeight w:val="288"/>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Formación pertinente para el trabajo</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E549A6" w:rsidP="0091449B">
            <w:pPr>
              <w:pStyle w:val="Prrafodelista"/>
              <w:numPr>
                <w:ilvl w:val="0"/>
                <w:numId w:val="1"/>
              </w:num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D</w:t>
            </w:r>
            <w:r w:rsidR="00AD7B51" w:rsidRPr="009311E8">
              <w:rPr>
                <w:rFonts w:eastAsia="Times New Roman" w:cs="Times New Roman"/>
                <w:color w:val="000000"/>
                <w:sz w:val="18"/>
                <w:szCs w:val="18"/>
                <w:lang w:eastAsia="es-CO"/>
              </w:rPr>
              <w:t xml:space="preserve">entro de la Ruta del Servicio de Empleo del Centro de Oportunidades  y en alianza con el Sena 5287 usuarios han recibido </w:t>
            </w:r>
            <w:r w:rsidR="00B87795" w:rsidRPr="009311E8">
              <w:rPr>
                <w:rFonts w:eastAsia="Times New Roman" w:cs="Times New Roman"/>
                <w:color w:val="000000"/>
                <w:sz w:val="18"/>
                <w:szCs w:val="18"/>
                <w:lang w:eastAsia="es-CO"/>
              </w:rPr>
              <w:t>Formación</w:t>
            </w:r>
            <w:r w:rsidR="00AD7B51" w:rsidRPr="009311E8">
              <w:rPr>
                <w:rFonts w:eastAsia="Times New Roman" w:cs="Times New Roman"/>
                <w:color w:val="000000"/>
                <w:sz w:val="18"/>
                <w:szCs w:val="18"/>
                <w:lang w:eastAsia="es-CO"/>
              </w:rPr>
              <w:t xml:space="preserve"> para el trabajo, todo esto con el fin  de </w:t>
            </w:r>
            <w:r w:rsidR="00B87795" w:rsidRPr="009311E8">
              <w:rPr>
                <w:rFonts w:eastAsia="Times New Roman" w:cs="Times New Roman"/>
                <w:color w:val="000000"/>
                <w:sz w:val="18"/>
                <w:szCs w:val="18"/>
                <w:lang w:eastAsia="es-CO"/>
              </w:rPr>
              <w:t>fortalecer sus competencias y que cumplan a cabalidad con los requerimientos de los empresarios.</w:t>
            </w:r>
          </w:p>
        </w:tc>
      </w:tr>
      <w:tr w:rsidR="009E1EC4" w:rsidRPr="00DC7A2A" w:rsidTr="00256FF7">
        <w:trPr>
          <w:trHeight w:val="288"/>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Inspección, vigilancia y control</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697BFA"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La Alcaldía Distrital es vigilada por la Oficina Regional de Inspección, Vigilancia y Control del Ministerio de Trabajo y Protección Social.</w:t>
            </w:r>
          </w:p>
        </w:tc>
      </w:tr>
      <w:tr w:rsidR="009E1EC4" w:rsidRPr="00DC7A2A" w:rsidTr="00256FF7">
        <w:trPr>
          <w:trHeight w:val="288"/>
        </w:trPr>
        <w:tc>
          <w:tcPr>
            <w:tcW w:w="4465" w:type="dxa"/>
            <w:vMerge w:val="restart"/>
            <w:tcBorders>
              <w:top w:val="nil"/>
              <w:left w:val="single" w:sz="8" w:space="0" w:color="auto"/>
              <w:bottom w:val="single" w:sz="4" w:space="0" w:color="000000"/>
              <w:right w:val="single" w:sz="4" w:space="0" w:color="auto"/>
            </w:tcBorders>
            <w:shd w:val="clear" w:color="auto" w:fill="auto"/>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t xml:space="preserve">Pacto por la </w:t>
            </w:r>
            <w:r w:rsidR="00B347BF" w:rsidRPr="00DC7A2A">
              <w:rPr>
                <w:rFonts w:eastAsia="Times New Roman" w:cs="Times New Roman"/>
                <w:color w:val="000000"/>
                <w:sz w:val="18"/>
                <w:szCs w:val="18"/>
                <w:lang w:eastAsia="es-CO"/>
              </w:rPr>
              <w:t>f</w:t>
            </w:r>
            <w:r w:rsidRPr="00DC7A2A">
              <w:rPr>
                <w:rFonts w:eastAsia="Times New Roman" w:cs="Times New Roman"/>
                <w:color w:val="000000"/>
                <w:sz w:val="18"/>
                <w:szCs w:val="18"/>
                <w:lang w:eastAsia="es-CO"/>
              </w:rPr>
              <w:t>ormalización</w:t>
            </w: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Promoción de la formalización laboral</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9E1EC4" w:rsidP="00D3630D">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t> </w:t>
            </w:r>
            <w:r w:rsidR="00D3630D" w:rsidRPr="00D3630D">
              <w:rPr>
                <w:rFonts w:ascii="Calibri" w:eastAsia="Times New Roman" w:hAnsi="Calibri" w:cs="Times New Roman"/>
                <w:color w:val="000000"/>
                <w:sz w:val="18"/>
                <w:lang w:eastAsia="es-CO"/>
              </w:rPr>
              <w:t xml:space="preserve">El Plan de desarrollo “Barranquilla Florece para Todos”, a través del programa “Formalización Empresarial”, definió el proyecto “Formalización de vendedores estacionarios del centro histórico y el mercado”, trazándose como meta la formalización de 3.500 negocios y asignando la responsabilidad de su ejecución a varias oficinas, entre ella a la Secretaría de Control Urbano y Espacio Público. Durante el cuatrienio 2012-2015, esta Secretaría implementó las estrategias: 1) proceso de reubicación de </w:t>
            </w:r>
            <w:r w:rsidR="00D3630D" w:rsidRPr="00D3630D">
              <w:rPr>
                <w:rFonts w:ascii="Calibri" w:eastAsia="Times New Roman" w:hAnsi="Calibri" w:cs="Times New Roman"/>
                <w:color w:val="000000"/>
                <w:sz w:val="18"/>
                <w:lang w:eastAsia="es-CO"/>
              </w:rPr>
              <w:lastRenderedPageBreak/>
              <w:t xml:space="preserve">vendedores estacionarios con derechos adquiridos en espacio especializados, logrando beneficiar 890 personas del centro histórico de la ciudad, (incluido el reasentamiento de 277 personas de las “Colmenas”), y 287 vendedores estacionarios en otros sectores de la ciudad, para un subtotal de </w:t>
            </w:r>
            <w:r w:rsidR="00D3630D" w:rsidRPr="00D3630D">
              <w:rPr>
                <w:rFonts w:ascii="Calibri" w:eastAsia="Times New Roman" w:hAnsi="Calibri" w:cs="Times New Roman"/>
                <w:b/>
                <w:color w:val="000000"/>
                <w:sz w:val="18"/>
                <w:lang w:eastAsia="es-CO"/>
              </w:rPr>
              <w:t>1.177</w:t>
            </w:r>
            <w:r w:rsidR="00D3630D" w:rsidRPr="00D3630D">
              <w:rPr>
                <w:rFonts w:ascii="Calibri" w:eastAsia="Times New Roman" w:hAnsi="Calibri" w:cs="Times New Roman"/>
                <w:color w:val="000000"/>
                <w:sz w:val="18"/>
                <w:lang w:eastAsia="es-CO"/>
              </w:rPr>
              <w:t xml:space="preserve"> vendedores atendidos; y 2) apoyo a ocupantes del espacio público para formalizar/compensar y consolidar sus negocios, logrando vincular a 214 ocupantes del espacio público en el centro histórico y 518 personas en otros sectores de la ciudad, para un subtotal de </w:t>
            </w:r>
            <w:r w:rsidR="00D3630D" w:rsidRPr="00D3630D">
              <w:rPr>
                <w:rFonts w:ascii="Calibri" w:eastAsia="Times New Roman" w:hAnsi="Calibri" w:cs="Times New Roman"/>
                <w:b/>
                <w:color w:val="000000"/>
                <w:sz w:val="18"/>
                <w:lang w:eastAsia="es-CO"/>
              </w:rPr>
              <w:t>732</w:t>
            </w:r>
            <w:r w:rsidR="00D3630D" w:rsidRPr="00D3630D">
              <w:rPr>
                <w:rFonts w:ascii="Calibri" w:eastAsia="Times New Roman" w:hAnsi="Calibri" w:cs="Times New Roman"/>
                <w:color w:val="000000"/>
                <w:sz w:val="18"/>
                <w:lang w:eastAsia="es-CO"/>
              </w:rPr>
              <w:t xml:space="preserve"> beneficiados. El aporte de la Secretaría de Control Urbano y Espacio Público al logro de la meta propuesta por el Plan de Desarrollo es de </w:t>
            </w:r>
            <w:r w:rsidR="00D3630D" w:rsidRPr="00D3630D">
              <w:rPr>
                <w:rFonts w:ascii="Calibri" w:eastAsia="Times New Roman" w:hAnsi="Calibri" w:cs="Times New Roman"/>
                <w:b/>
                <w:color w:val="000000"/>
                <w:sz w:val="18"/>
                <w:lang w:eastAsia="es-CO"/>
              </w:rPr>
              <w:t>1.909</w:t>
            </w:r>
            <w:r w:rsidR="00D3630D" w:rsidRPr="00D3630D">
              <w:rPr>
                <w:rFonts w:ascii="Calibri" w:eastAsia="Times New Roman" w:hAnsi="Calibri" w:cs="Times New Roman"/>
                <w:color w:val="000000"/>
                <w:sz w:val="18"/>
                <w:lang w:eastAsia="es-CO"/>
              </w:rPr>
              <w:t xml:space="preserve"> personas atendidas, representando el 54,54% de ésta.</w:t>
            </w:r>
          </w:p>
        </w:tc>
      </w:tr>
      <w:tr w:rsidR="009E1EC4" w:rsidRPr="00DC7A2A" w:rsidTr="00256FF7">
        <w:trPr>
          <w:trHeight w:val="576"/>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Subsidio familiar - Mecanismos de protección al cesante</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697BFA" w:rsidP="0091449B">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t>Los empleados de la Entidad se encuentran afiliados a una Caja de Compensación Familiar, entidad que apoya el desarrollo de programas especiales y de protección al cesante.</w:t>
            </w:r>
          </w:p>
        </w:tc>
      </w:tr>
      <w:tr w:rsidR="009E1EC4" w:rsidRPr="00DC7A2A" w:rsidTr="00256FF7">
        <w:trPr>
          <w:trHeight w:val="288"/>
        </w:trPr>
        <w:tc>
          <w:tcPr>
            <w:tcW w:w="4465" w:type="dxa"/>
            <w:vMerge/>
            <w:tcBorders>
              <w:top w:val="nil"/>
              <w:left w:val="single" w:sz="8" w:space="0" w:color="auto"/>
              <w:bottom w:val="single" w:sz="4" w:space="0" w:color="000000"/>
              <w:right w:val="single" w:sz="4" w:space="0" w:color="auto"/>
            </w:tcBorders>
            <w:vAlign w:val="center"/>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335" w:type="dxa"/>
            <w:tcBorders>
              <w:top w:val="nil"/>
              <w:left w:val="nil"/>
              <w:bottom w:val="single" w:sz="4"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Pacto por el trabajo decente en el campo</w:t>
            </w:r>
          </w:p>
        </w:tc>
        <w:tc>
          <w:tcPr>
            <w:tcW w:w="4400" w:type="dxa"/>
            <w:tcBorders>
              <w:top w:val="nil"/>
              <w:left w:val="nil"/>
              <w:bottom w:val="single" w:sz="4" w:space="0" w:color="auto"/>
              <w:right w:val="single" w:sz="8"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 </w:t>
            </w:r>
            <w:r w:rsidR="00FC37F3" w:rsidRPr="009311E8">
              <w:rPr>
                <w:rFonts w:eastAsia="Times New Roman" w:cs="Times New Roman"/>
                <w:color w:val="000000"/>
                <w:sz w:val="18"/>
                <w:szCs w:val="18"/>
                <w:lang w:eastAsia="es-CO"/>
              </w:rPr>
              <w:t xml:space="preserve">No Aplica </w:t>
            </w:r>
          </w:p>
        </w:tc>
      </w:tr>
      <w:tr w:rsidR="009E1EC4" w:rsidRPr="00DC7A2A" w:rsidTr="001445E7">
        <w:trPr>
          <w:trHeight w:val="300"/>
        </w:trPr>
        <w:tc>
          <w:tcPr>
            <w:tcW w:w="4465" w:type="dxa"/>
            <w:tcBorders>
              <w:top w:val="nil"/>
              <w:left w:val="single" w:sz="8" w:space="0" w:color="auto"/>
              <w:bottom w:val="single" w:sz="8" w:space="0" w:color="auto"/>
              <w:right w:val="single" w:sz="4" w:space="0" w:color="auto"/>
            </w:tcBorders>
            <w:shd w:val="clear" w:color="auto" w:fill="auto"/>
            <w:hideMark/>
          </w:tcPr>
          <w:p w:rsidR="009E1EC4" w:rsidRPr="00DC7A2A" w:rsidRDefault="009E1EC4"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t xml:space="preserve">Pacto por la </w:t>
            </w:r>
            <w:r w:rsidR="00B347BF" w:rsidRPr="00DC7A2A">
              <w:rPr>
                <w:rFonts w:eastAsia="Times New Roman" w:cs="Times New Roman"/>
                <w:color w:val="000000"/>
                <w:sz w:val="18"/>
                <w:szCs w:val="18"/>
                <w:lang w:eastAsia="es-CO"/>
              </w:rPr>
              <w:t>p</w:t>
            </w:r>
            <w:r w:rsidRPr="00DC7A2A">
              <w:rPr>
                <w:rFonts w:eastAsia="Times New Roman" w:cs="Times New Roman"/>
                <w:color w:val="000000"/>
                <w:sz w:val="18"/>
                <w:szCs w:val="18"/>
                <w:lang w:eastAsia="es-CO"/>
              </w:rPr>
              <w:t xml:space="preserve">rotección de la </w:t>
            </w:r>
            <w:r w:rsidR="00B347BF" w:rsidRPr="00DC7A2A">
              <w:rPr>
                <w:rFonts w:eastAsia="Times New Roman" w:cs="Times New Roman"/>
                <w:color w:val="000000"/>
                <w:sz w:val="18"/>
                <w:szCs w:val="18"/>
                <w:lang w:eastAsia="es-CO"/>
              </w:rPr>
              <w:t>v</w:t>
            </w:r>
            <w:r w:rsidRPr="00DC7A2A">
              <w:rPr>
                <w:rFonts w:eastAsia="Times New Roman" w:cs="Times New Roman"/>
                <w:color w:val="000000"/>
                <w:sz w:val="18"/>
                <w:szCs w:val="18"/>
                <w:lang w:eastAsia="es-CO"/>
              </w:rPr>
              <w:t>ejez</w:t>
            </w:r>
          </w:p>
        </w:tc>
        <w:tc>
          <w:tcPr>
            <w:tcW w:w="4335" w:type="dxa"/>
            <w:tcBorders>
              <w:top w:val="nil"/>
              <w:left w:val="nil"/>
              <w:bottom w:val="single" w:sz="8" w:space="0" w:color="auto"/>
              <w:right w:val="single" w:sz="4" w:space="0" w:color="auto"/>
            </w:tcBorders>
            <w:shd w:val="clear" w:color="auto" w:fill="auto"/>
            <w:hideMark/>
          </w:tcPr>
          <w:p w:rsidR="009E1EC4" w:rsidRPr="009311E8" w:rsidRDefault="009E1EC4" w:rsidP="0091449B">
            <w:pPr>
              <w:spacing w:after="0" w:line="240" w:lineRule="auto"/>
              <w:rPr>
                <w:rFonts w:eastAsia="Times New Roman" w:cs="Times New Roman"/>
                <w:color w:val="000000"/>
                <w:sz w:val="18"/>
                <w:szCs w:val="18"/>
                <w:lang w:eastAsia="es-CO"/>
              </w:rPr>
            </w:pPr>
            <w:r w:rsidRPr="009311E8">
              <w:rPr>
                <w:rFonts w:eastAsia="Times New Roman" w:cs="Times New Roman"/>
                <w:color w:val="000000"/>
                <w:sz w:val="18"/>
                <w:szCs w:val="18"/>
                <w:lang w:eastAsia="es-CO"/>
              </w:rPr>
              <w:t>Protección a la vejez</w:t>
            </w:r>
          </w:p>
        </w:tc>
        <w:tc>
          <w:tcPr>
            <w:tcW w:w="4400" w:type="dxa"/>
            <w:tcBorders>
              <w:top w:val="nil"/>
              <w:left w:val="nil"/>
              <w:bottom w:val="single" w:sz="8" w:space="0" w:color="auto"/>
              <w:right w:val="single" w:sz="8" w:space="0" w:color="auto"/>
            </w:tcBorders>
            <w:shd w:val="clear" w:color="auto" w:fill="auto"/>
            <w:hideMark/>
          </w:tcPr>
          <w:p w:rsidR="00E44133" w:rsidRPr="009311E8" w:rsidRDefault="00654C1B" w:rsidP="00654C1B">
            <w:pPr>
              <w:spacing w:after="0" w:line="240" w:lineRule="auto"/>
              <w:rPr>
                <w:rFonts w:cstheme="minorHAnsi"/>
                <w:sz w:val="18"/>
                <w:szCs w:val="18"/>
              </w:rPr>
            </w:pPr>
            <w:r>
              <w:rPr>
                <w:rFonts w:eastAsia="Times New Roman" w:cs="Times New Roman"/>
                <w:color w:val="000000"/>
                <w:sz w:val="18"/>
                <w:szCs w:val="18"/>
                <w:lang w:eastAsia="es-CO"/>
              </w:rPr>
              <w:t>-</w:t>
            </w:r>
            <w:r w:rsidR="00E44133" w:rsidRPr="009311E8">
              <w:rPr>
                <w:rFonts w:cstheme="minorHAnsi"/>
                <w:sz w:val="18"/>
                <w:szCs w:val="18"/>
              </w:rPr>
              <w:t xml:space="preserve"> el proyecto de los Centros de Vida se trabajó en un componente de emprendimiento para los adultos mayores y sus núcleos familiares. </w:t>
            </w:r>
          </w:p>
          <w:p w:rsidR="00E44133" w:rsidRPr="009311E8" w:rsidRDefault="00E44133" w:rsidP="0091449B">
            <w:pPr>
              <w:autoSpaceDE w:val="0"/>
              <w:autoSpaceDN w:val="0"/>
              <w:adjustRightInd w:val="0"/>
              <w:spacing w:after="0" w:line="240" w:lineRule="auto"/>
              <w:jc w:val="both"/>
              <w:rPr>
                <w:rFonts w:cstheme="minorHAnsi"/>
                <w:sz w:val="18"/>
                <w:szCs w:val="18"/>
              </w:rPr>
            </w:pPr>
            <w:r w:rsidRPr="009311E8">
              <w:rPr>
                <w:rFonts w:cstheme="minorHAnsi"/>
                <w:sz w:val="18"/>
                <w:szCs w:val="18"/>
              </w:rPr>
              <w:t>El emprendimiento dio a los adultos mayores la capacidad de ampliar su mentalidad emprendedora y así encaminar todo su potencial en crear negocios sostenibles y con ello mejorar su calidad de vida, desde lo personal y emotivo, hasta lo económico.</w:t>
            </w:r>
          </w:p>
          <w:p w:rsidR="00E44133" w:rsidRPr="009311E8" w:rsidRDefault="00E44133" w:rsidP="0091449B">
            <w:pPr>
              <w:autoSpaceDE w:val="0"/>
              <w:autoSpaceDN w:val="0"/>
              <w:adjustRightInd w:val="0"/>
              <w:spacing w:after="0" w:line="240" w:lineRule="auto"/>
              <w:jc w:val="both"/>
              <w:rPr>
                <w:rFonts w:cstheme="minorHAnsi"/>
                <w:sz w:val="18"/>
                <w:szCs w:val="18"/>
              </w:rPr>
            </w:pPr>
            <w:r w:rsidRPr="009311E8">
              <w:rPr>
                <w:rFonts w:cstheme="minorHAnsi"/>
                <w:sz w:val="18"/>
                <w:szCs w:val="18"/>
              </w:rPr>
              <w:t xml:space="preserve">Se llevó a cabo un curso de bisutería, el cual contó con la participación activa del grupo, quienes estuvieron atentos y receptivos al mensaje transmitido. </w:t>
            </w:r>
            <w:r w:rsidRPr="009311E8">
              <w:rPr>
                <w:rFonts w:cstheme="minorHAnsi"/>
                <w:b/>
                <w:i/>
                <w:sz w:val="18"/>
                <w:szCs w:val="18"/>
              </w:rPr>
              <w:t>22 familias contaron con el apoyo</w:t>
            </w:r>
            <w:r w:rsidRPr="009311E8">
              <w:rPr>
                <w:rFonts w:cstheme="minorHAnsi"/>
                <w:sz w:val="18"/>
                <w:szCs w:val="18"/>
              </w:rPr>
              <w:t xml:space="preserve"> del proyecto para potencializar sus negocios. </w:t>
            </w:r>
          </w:p>
          <w:p w:rsidR="00E44133" w:rsidRPr="009311E8" w:rsidRDefault="00E44133" w:rsidP="0091449B">
            <w:pPr>
              <w:autoSpaceDE w:val="0"/>
              <w:autoSpaceDN w:val="0"/>
              <w:adjustRightInd w:val="0"/>
              <w:spacing w:after="0" w:line="240" w:lineRule="auto"/>
              <w:jc w:val="both"/>
              <w:rPr>
                <w:rFonts w:cstheme="minorHAnsi"/>
                <w:b/>
                <w:sz w:val="18"/>
                <w:szCs w:val="18"/>
              </w:rPr>
            </w:pPr>
          </w:p>
          <w:p w:rsidR="00E44133" w:rsidRPr="009311E8" w:rsidRDefault="00654C1B" w:rsidP="0091449B">
            <w:pPr>
              <w:spacing w:after="0" w:line="240" w:lineRule="auto"/>
              <w:jc w:val="both"/>
              <w:rPr>
                <w:rFonts w:cstheme="minorHAnsi"/>
                <w:sz w:val="18"/>
                <w:szCs w:val="18"/>
              </w:rPr>
            </w:pPr>
            <w:r>
              <w:rPr>
                <w:rFonts w:cstheme="minorHAnsi"/>
                <w:sz w:val="18"/>
                <w:szCs w:val="18"/>
              </w:rPr>
              <w:t>-</w:t>
            </w:r>
            <w:r w:rsidR="00E44133" w:rsidRPr="009311E8">
              <w:rPr>
                <w:rFonts w:cstheme="minorHAnsi"/>
                <w:sz w:val="18"/>
                <w:szCs w:val="18"/>
              </w:rPr>
              <w:t xml:space="preserve">Los adultos mayores fueron capacitados en los talleres de emprendimiento en temas como: “Socialización del componente”, “Espíritu empresarial”, “Emprendimiento y fortalecimiento” “Principios contables”, “Manejo del estado de ganancias y pérdidas”, “Metas a corto, mediano y largo plazo”, “Visión empresarial”, “Creación, manejo y </w:t>
            </w:r>
            <w:r w:rsidR="00E44133" w:rsidRPr="009311E8">
              <w:rPr>
                <w:rFonts w:cstheme="minorHAnsi"/>
                <w:sz w:val="18"/>
                <w:szCs w:val="18"/>
              </w:rPr>
              <w:lastRenderedPageBreak/>
              <w:t xml:space="preserve">fortalecimiento de negocio”, los cuales permitió aumentar la motivación de los mismos. </w:t>
            </w:r>
          </w:p>
          <w:p w:rsidR="00E44133" w:rsidRPr="009311E8" w:rsidRDefault="00E44133" w:rsidP="0091449B">
            <w:pPr>
              <w:pStyle w:val="Default"/>
              <w:rPr>
                <w:rFonts w:asciiTheme="minorHAnsi" w:hAnsiTheme="minorHAnsi" w:cstheme="minorHAnsi"/>
                <w:color w:val="auto"/>
                <w:sz w:val="18"/>
                <w:szCs w:val="18"/>
              </w:rPr>
            </w:pPr>
            <w:r w:rsidRPr="009311E8">
              <w:rPr>
                <w:rFonts w:asciiTheme="minorHAnsi" w:hAnsiTheme="minorHAnsi" w:cstheme="minorHAnsi"/>
                <w:color w:val="auto"/>
                <w:sz w:val="18"/>
                <w:szCs w:val="18"/>
              </w:rPr>
              <w:t xml:space="preserve">El proceso de capacitación permitió a los adultos mayores demostrarse a sí mismos y a los demás que si se puede hacer realidad el sueño de tener un negocio propio, a través de ideas productivas, oportunidades y viabilidades del negocio, y lo más importante, llevar libros de cuentas que permitan organizar los ingresos y los egresos. </w:t>
            </w:r>
          </w:p>
          <w:p w:rsidR="00E44133" w:rsidRPr="009311E8" w:rsidRDefault="00E44133" w:rsidP="0091449B">
            <w:pPr>
              <w:spacing w:after="0" w:line="240" w:lineRule="auto"/>
              <w:jc w:val="both"/>
              <w:rPr>
                <w:rFonts w:cstheme="minorHAnsi"/>
                <w:sz w:val="18"/>
                <w:szCs w:val="18"/>
              </w:rPr>
            </w:pPr>
            <w:r w:rsidRPr="009311E8">
              <w:rPr>
                <w:rFonts w:cstheme="minorHAnsi"/>
                <w:sz w:val="18"/>
                <w:szCs w:val="18"/>
              </w:rPr>
              <w:t xml:space="preserve">Se dictaron 19 cursos de formación técnica en: calzado, bisutería, estampada en camisetas y trabajos en </w:t>
            </w:r>
            <w:proofErr w:type="spellStart"/>
            <w:r w:rsidRPr="009311E8">
              <w:rPr>
                <w:rFonts w:cstheme="minorHAnsi"/>
                <w:sz w:val="18"/>
                <w:szCs w:val="18"/>
              </w:rPr>
              <w:t>foami</w:t>
            </w:r>
            <w:proofErr w:type="spellEnd"/>
            <w:r w:rsidRPr="009311E8">
              <w:rPr>
                <w:rFonts w:cstheme="minorHAnsi"/>
                <w:sz w:val="18"/>
                <w:szCs w:val="18"/>
              </w:rPr>
              <w:t xml:space="preserve">. </w:t>
            </w:r>
          </w:p>
          <w:p w:rsidR="00E44133" w:rsidRPr="009311E8" w:rsidRDefault="00E44133" w:rsidP="0091449B">
            <w:pPr>
              <w:autoSpaceDE w:val="0"/>
              <w:autoSpaceDN w:val="0"/>
              <w:adjustRightInd w:val="0"/>
              <w:spacing w:after="0" w:line="240" w:lineRule="auto"/>
              <w:jc w:val="both"/>
              <w:rPr>
                <w:rFonts w:cstheme="minorHAnsi"/>
                <w:sz w:val="18"/>
                <w:szCs w:val="18"/>
              </w:rPr>
            </w:pPr>
            <w:r w:rsidRPr="009311E8">
              <w:rPr>
                <w:rFonts w:cstheme="minorHAnsi"/>
                <w:b/>
                <w:i/>
                <w:sz w:val="18"/>
                <w:szCs w:val="18"/>
              </w:rPr>
              <w:t>239 familias contaron con el apoyo</w:t>
            </w:r>
            <w:r w:rsidRPr="009311E8">
              <w:rPr>
                <w:rFonts w:cstheme="minorHAnsi"/>
                <w:sz w:val="18"/>
                <w:szCs w:val="18"/>
              </w:rPr>
              <w:t xml:space="preserve"> del proyecto para potencializar sus negocios. </w:t>
            </w:r>
          </w:p>
          <w:p w:rsidR="009E1EC4" w:rsidRPr="009311E8" w:rsidRDefault="009E1EC4" w:rsidP="0091449B">
            <w:pPr>
              <w:spacing w:after="0" w:line="240" w:lineRule="auto"/>
              <w:rPr>
                <w:rFonts w:eastAsia="Times New Roman" w:cs="Times New Roman"/>
                <w:color w:val="000000"/>
                <w:sz w:val="18"/>
                <w:szCs w:val="18"/>
                <w:lang w:eastAsia="es-CO"/>
              </w:rPr>
            </w:pPr>
          </w:p>
          <w:p w:rsidR="00E44133" w:rsidRPr="009311E8" w:rsidRDefault="00654C1B" w:rsidP="0091449B">
            <w:pPr>
              <w:spacing w:after="0" w:line="240" w:lineRule="auto"/>
              <w:rPr>
                <w:rFonts w:eastAsia="Times New Roman" w:cs="Times New Roman"/>
                <w:color w:val="000000"/>
                <w:sz w:val="18"/>
                <w:szCs w:val="18"/>
                <w:lang w:eastAsia="es-CO"/>
              </w:rPr>
            </w:pPr>
            <w:r>
              <w:rPr>
                <w:rFonts w:eastAsia="Times New Roman" w:cs="Times New Roman"/>
                <w:color w:val="000000"/>
                <w:sz w:val="18"/>
                <w:szCs w:val="18"/>
                <w:lang w:eastAsia="es-CO"/>
              </w:rPr>
              <w:t>-</w:t>
            </w:r>
            <w:r w:rsidR="00697BFA" w:rsidRPr="009311E8">
              <w:rPr>
                <w:rFonts w:eastAsia="Times New Roman" w:cs="Times New Roman"/>
                <w:color w:val="000000"/>
                <w:sz w:val="18"/>
                <w:szCs w:val="18"/>
                <w:lang w:eastAsia="es-CO"/>
              </w:rPr>
              <w:t xml:space="preserve">Desde el proceso de gestión humana se lleva el programa de atención a la población </w:t>
            </w:r>
            <w:proofErr w:type="spellStart"/>
            <w:r w:rsidR="00697BFA" w:rsidRPr="009311E8">
              <w:rPr>
                <w:rFonts w:eastAsia="Times New Roman" w:cs="Times New Roman"/>
                <w:color w:val="000000"/>
                <w:sz w:val="18"/>
                <w:szCs w:val="18"/>
                <w:lang w:eastAsia="es-CO"/>
              </w:rPr>
              <w:t>prepensionable</w:t>
            </w:r>
            <w:proofErr w:type="spellEnd"/>
            <w:r w:rsidR="00697BFA" w:rsidRPr="009311E8">
              <w:rPr>
                <w:rFonts w:eastAsia="Times New Roman" w:cs="Times New Roman"/>
                <w:color w:val="000000"/>
                <w:sz w:val="18"/>
                <w:szCs w:val="18"/>
                <w:lang w:eastAsia="es-CO"/>
              </w:rPr>
              <w:t>.</w:t>
            </w:r>
          </w:p>
          <w:p w:rsidR="00E44133" w:rsidRPr="009311E8" w:rsidRDefault="00E44133" w:rsidP="0091449B">
            <w:pPr>
              <w:spacing w:after="0" w:line="240" w:lineRule="auto"/>
              <w:rPr>
                <w:rFonts w:eastAsia="Times New Roman" w:cs="Times New Roman"/>
                <w:color w:val="000000"/>
                <w:sz w:val="18"/>
                <w:szCs w:val="18"/>
                <w:lang w:eastAsia="es-CO"/>
              </w:rPr>
            </w:pPr>
          </w:p>
          <w:p w:rsidR="00E44133" w:rsidRPr="009311E8" w:rsidRDefault="00E44133" w:rsidP="0091449B">
            <w:pPr>
              <w:spacing w:after="0" w:line="240" w:lineRule="auto"/>
              <w:rPr>
                <w:rFonts w:eastAsia="Times New Roman" w:cs="Times New Roman"/>
                <w:color w:val="000000"/>
                <w:sz w:val="18"/>
                <w:szCs w:val="18"/>
                <w:lang w:eastAsia="es-CO"/>
              </w:rPr>
            </w:pPr>
          </w:p>
          <w:p w:rsidR="00E44133" w:rsidRPr="009311E8" w:rsidRDefault="00E44133" w:rsidP="0091449B">
            <w:pPr>
              <w:spacing w:after="0" w:line="240" w:lineRule="auto"/>
              <w:rPr>
                <w:rFonts w:eastAsia="Times New Roman" w:cs="Times New Roman"/>
                <w:color w:val="000000"/>
                <w:sz w:val="18"/>
                <w:szCs w:val="18"/>
                <w:lang w:eastAsia="es-CO"/>
              </w:rPr>
            </w:pPr>
          </w:p>
          <w:p w:rsidR="00E44133" w:rsidRPr="009311E8" w:rsidRDefault="00E44133" w:rsidP="0091449B">
            <w:pPr>
              <w:spacing w:after="0" w:line="240" w:lineRule="auto"/>
              <w:rPr>
                <w:rFonts w:eastAsia="Times New Roman" w:cs="Times New Roman"/>
                <w:color w:val="000000"/>
                <w:sz w:val="18"/>
                <w:szCs w:val="18"/>
                <w:lang w:eastAsia="es-CO"/>
              </w:rPr>
            </w:pPr>
          </w:p>
        </w:tc>
      </w:tr>
      <w:tr w:rsidR="009E1EC4" w:rsidRPr="00DC7A2A" w:rsidTr="001445E7">
        <w:trPr>
          <w:trHeight w:val="288"/>
        </w:trPr>
        <w:tc>
          <w:tcPr>
            <w:tcW w:w="4465" w:type="dxa"/>
            <w:tcBorders>
              <w:top w:val="single" w:sz="8" w:space="0" w:color="auto"/>
              <w:left w:val="single" w:sz="8" w:space="0" w:color="auto"/>
              <w:bottom w:val="single" w:sz="4" w:space="0" w:color="auto"/>
              <w:right w:val="single" w:sz="4" w:space="0" w:color="auto"/>
            </w:tcBorders>
            <w:shd w:val="clear" w:color="auto" w:fill="auto"/>
            <w:noWrap/>
            <w:hideMark/>
          </w:tcPr>
          <w:p w:rsidR="009E1EC4" w:rsidRPr="00DC7A2A" w:rsidRDefault="00B347BF"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lastRenderedPageBreak/>
              <w:t>Política t</w:t>
            </w:r>
            <w:r w:rsidR="009E1EC4" w:rsidRPr="00DC7A2A">
              <w:rPr>
                <w:rFonts w:eastAsia="Times New Roman" w:cs="Times New Roman"/>
                <w:color w:val="000000"/>
                <w:sz w:val="18"/>
                <w:szCs w:val="18"/>
                <w:lang w:eastAsia="es-CO"/>
              </w:rPr>
              <w:t xml:space="preserve">erritorial de empleo y trabajo decente: </w:t>
            </w:r>
          </w:p>
        </w:tc>
        <w:tc>
          <w:tcPr>
            <w:tcW w:w="4335" w:type="dxa"/>
            <w:tcBorders>
              <w:top w:val="single" w:sz="8" w:space="0" w:color="auto"/>
              <w:left w:val="single" w:sz="4" w:space="0" w:color="auto"/>
              <w:bottom w:val="single" w:sz="4" w:space="0" w:color="auto"/>
              <w:right w:val="single" w:sz="4" w:space="0" w:color="auto"/>
            </w:tcBorders>
            <w:shd w:val="clear" w:color="auto" w:fill="auto"/>
            <w:noWrap/>
            <w:hideMark/>
          </w:tcPr>
          <w:p w:rsidR="006A2739" w:rsidRPr="009311E8" w:rsidRDefault="009E1EC4" w:rsidP="0091449B">
            <w:pPr>
              <w:spacing w:line="240" w:lineRule="auto"/>
              <w:jc w:val="both"/>
              <w:rPr>
                <w:color w:val="000000"/>
                <w:sz w:val="18"/>
                <w:szCs w:val="18"/>
              </w:rPr>
            </w:pPr>
            <w:r w:rsidRPr="009311E8">
              <w:rPr>
                <w:rFonts w:eastAsia="Times New Roman" w:cs="Times New Roman"/>
                <w:color w:val="000000"/>
                <w:sz w:val="18"/>
                <w:szCs w:val="18"/>
                <w:lang w:eastAsia="es-CO"/>
              </w:rPr>
              <w:t> </w:t>
            </w:r>
            <w:r w:rsidR="006A2739" w:rsidRPr="009311E8">
              <w:rPr>
                <w:rFonts w:eastAsia="Times New Roman" w:cs="Times New Roman"/>
                <w:color w:val="000000"/>
                <w:sz w:val="18"/>
                <w:szCs w:val="18"/>
                <w:lang w:eastAsia="es-CO"/>
              </w:rPr>
              <w:t xml:space="preserve">Política de Inclusión Productiva: tiene como objetivo </w:t>
            </w:r>
            <w:r w:rsidR="006A2739" w:rsidRPr="009311E8">
              <w:rPr>
                <w:rFonts w:eastAsia="Times New Roman"/>
                <w:color w:val="000000"/>
                <w:sz w:val="18"/>
                <w:szCs w:val="18"/>
              </w:rPr>
              <w:t xml:space="preserve">orientar y coadyuvar en el desarrollo de las capacidades </w:t>
            </w:r>
            <w:r w:rsidR="006A2739" w:rsidRPr="009311E8">
              <w:rPr>
                <w:rFonts w:eastAsia="Times New Roman"/>
                <w:color w:val="000000"/>
                <w:sz w:val="18"/>
                <w:szCs w:val="18"/>
              </w:rPr>
              <w:tab/>
              <w:t xml:space="preserve">y ampliación de oportunidades para la inserción productiva y económica especialmente de los grupos poblacionales en mayor situación de pobreza y de vulnerabilidad en la ciudad. La política cobija </w:t>
            </w:r>
            <w:r w:rsidR="006A2739" w:rsidRPr="009311E8">
              <w:rPr>
                <w:color w:val="000000"/>
                <w:sz w:val="18"/>
                <w:szCs w:val="18"/>
                <w:lang w:val="es-ES"/>
              </w:rPr>
              <w:t>en relación con la población sujeto se identifican algunos grupos poblacionales prioritarios que tienen barreras para acceder al mercado de trabajo como por ejemplo:</w:t>
            </w:r>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t xml:space="preserve">  Población con menor calificación en SISBEN III </w:t>
            </w:r>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t xml:space="preserve">  Red Unidos</w:t>
            </w:r>
            <w:r w:rsidRPr="009311E8">
              <w:rPr>
                <w:rFonts w:eastAsia="Times New Roman"/>
                <w:color w:val="000000"/>
                <w:sz w:val="18"/>
                <w:szCs w:val="18"/>
                <w:vertAlign w:val="superscript"/>
                <w:lang w:val="es-ES"/>
              </w:rPr>
              <w:t>[</w:t>
            </w:r>
            <w:r w:rsidRPr="009311E8">
              <w:rPr>
                <w:rFonts w:eastAsia="Times New Roman"/>
                <w:color w:val="000000"/>
                <w:sz w:val="18"/>
                <w:szCs w:val="18"/>
                <w:lang w:val="es-ES"/>
              </w:rPr>
              <w:t xml:space="preserve"> - 18.400 hogares y 73.112 personas</w:t>
            </w:r>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t xml:space="preserve">  Mujeres</w:t>
            </w:r>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t xml:space="preserve">  Jóvenes</w:t>
            </w:r>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t xml:space="preserve">  Víctimas</w:t>
            </w:r>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lastRenderedPageBreak/>
              <w:t xml:space="preserve">  </w:t>
            </w:r>
            <w:proofErr w:type="spellStart"/>
            <w:r w:rsidRPr="009311E8">
              <w:rPr>
                <w:rFonts w:eastAsia="Times New Roman"/>
                <w:color w:val="000000"/>
                <w:sz w:val="18"/>
                <w:szCs w:val="18"/>
                <w:lang w:val="es-ES"/>
              </w:rPr>
              <w:t>Exmototaxistas</w:t>
            </w:r>
            <w:proofErr w:type="spellEnd"/>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t xml:space="preserve">  Vendedores informales</w:t>
            </w:r>
          </w:p>
          <w:p w:rsidR="003F1D18" w:rsidRPr="009311E8" w:rsidRDefault="00697BFA" w:rsidP="0091449B">
            <w:pPr>
              <w:numPr>
                <w:ilvl w:val="0"/>
                <w:numId w:val="2"/>
              </w:numPr>
              <w:spacing w:line="240" w:lineRule="auto"/>
              <w:jc w:val="both"/>
              <w:rPr>
                <w:rFonts w:eastAsia="Times New Roman"/>
                <w:color w:val="000000"/>
                <w:sz w:val="18"/>
                <w:szCs w:val="18"/>
              </w:rPr>
            </w:pPr>
            <w:r w:rsidRPr="009311E8">
              <w:rPr>
                <w:rFonts w:eastAsia="Times New Roman"/>
                <w:color w:val="000000"/>
                <w:sz w:val="18"/>
                <w:szCs w:val="18"/>
                <w:lang w:val="es-ES"/>
              </w:rPr>
              <w:t xml:space="preserve">  Conductores de vehículo de tracción animal </w:t>
            </w:r>
          </w:p>
          <w:p w:rsidR="006A2739" w:rsidRPr="009311E8" w:rsidRDefault="006A2739" w:rsidP="0091449B">
            <w:pPr>
              <w:spacing w:line="240" w:lineRule="auto"/>
              <w:jc w:val="both"/>
              <w:rPr>
                <w:color w:val="000000"/>
                <w:sz w:val="18"/>
                <w:szCs w:val="18"/>
              </w:rPr>
            </w:pPr>
          </w:p>
          <w:p w:rsidR="009E1EC4" w:rsidRPr="009311E8" w:rsidRDefault="009E1EC4" w:rsidP="0091449B">
            <w:pPr>
              <w:spacing w:after="0" w:line="240" w:lineRule="auto"/>
              <w:jc w:val="both"/>
              <w:rPr>
                <w:rFonts w:eastAsia="Times New Roman" w:cs="Times New Roman"/>
                <w:color w:val="000000"/>
                <w:sz w:val="18"/>
                <w:szCs w:val="18"/>
                <w:lang w:eastAsia="es-CO"/>
              </w:rPr>
            </w:pPr>
          </w:p>
        </w:tc>
        <w:tc>
          <w:tcPr>
            <w:tcW w:w="4400" w:type="dxa"/>
            <w:tcBorders>
              <w:top w:val="single" w:sz="8" w:space="0" w:color="auto"/>
              <w:left w:val="single" w:sz="4" w:space="0" w:color="auto"/>
              <w:bottom w:val="single" w:sz="4" w:space="0" w:color="auto"/>
              <w:right w:val="single" w:sz="8" w:space="0" w:color="auto"/>
            </w:tcBorders>
            <w:shd w:val="clear" w:color="auto" w:fill="auto"/>
            <w:noWrap/>
            <w:hideMark/>
          </w:tcPr>
          <w:p w:rsidR="009E1EC4" w:rsidRPr="009311E8" w:rsidRDefault="009E1EC4" w:rsidP="0091449B">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lastRenderedPageBreak/>
              <w:t> </w:t>
            </w:r>
          </w:p>
        </w:tc>
      </w:tr>
      <w:tr w:rsidR="009E1EC4" w:rsidRPr="00DC7A2A" w:rsidTr="001445E7">
        <w:trPr>
          <w:trHeight w:val="300"/>
        </w:trPr>
        <w:tc>
          <w:tcPr>
            <w:tcW w:w="4465" w:type="dxa"/>
            <w:tcBorders>
              <w:top w:val="single" w:sz="4" w:space="0" w:color="auto"/>
              <w:left w:val="single" w:sz="8" w:space="0" w:color="auto"/>
              <w:bottom w:val="single" w:sz="8" w:space="0" w:color="auto"/>
              <w:right w:val="single" w:sz="4" w:space="0" w:color="auto"/>
            </w:tcBorders>
            <w:shd w:val="clear" w:color="auto" w:fill="auto"/>
            <w:noWrap/>
            <w:hideMark/>
          </w:tcPr>
          <w:p w:rsidR="009E1EC4" w:rsidRPr="00DC7A2A" w:rsidRDefault="009E1EC4"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lastRenderedPageBreak/>
              <w:t>Metas cumplidas en empleo y trabajo decente:</w:t>
            </w:r>
          </w:p>
        </w:tc>
        <w:tc>
          <w:tcPr>
            <w:tcW w:w="4335" w:type="dxa"/>
            <w:tcBorders>
              <w:top w:val="single" w:sz="4" w:space="0" w:color="auto"/>
              <w:left w:val="single" w:sz="4" w:space="0" w:color="auto"/>
              <w:bottom w:val="single" w:sz="8" w:space="0" w:color="auto"/>
              <w:right w:val="single" w:sz="4" w:space="0" w:color="auto"/>
            </w:tcBorders>
            <w:shd w:val="clear" w:color="auto" w:fill="auto"/>
            <w:noWrap/>
            <w:hideMark/>
          </w:tcPr>
          <w:p w:rsidR="0042060C" w:rsidRPr="009311E8" w:rsidRDefault="0042060C" w:rsidP="0091449B">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t xml:space="preserve">Respecto a las metas del Plan de Desarrollo   </w:t>
            </w:r>
          </w:p>
          <w:p w:rsidR="009E1EC4" w:rsidRPr="009311E8" w:rsidRDefault="0042060C" w:rsidP="0091449B">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t>“ Barranquilla Florece para todos 2012-2015”</w:t>
            </w:r>
            <w:r w:rsidR="009E1EC4" w:rsidRPr="009311E8">
              <w:rPr>
                <w:rFonts w:eastAsia="Times New Roman" w:cs="Times New Roman"/>
                <w:color w:val="000000"/>
                <w:sz w:val="18"/>
                <w:szCs w:val="18"/>
                <w:lang w:eastAsia="es-CO"/>
              </w:rPr>
              <w:t> </w:t>
            </w:r>
          </w:p>
          <w:p w:rsidR="0042060C" w:rsidRPr="009311E8" w:rsidRDefault="0042060C" w:rsidP="0091449B">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t>Se cumplieron las siguientes metas:</w:t>
            </w:r>
          </w:p>
          <w:p w:rsidR="0042060C" w:rsidRPr="009311E8" w:rsidRDefault="0042060C" w:rsidP="0091449B">
            <w:pPr>
              <w:pStyle w:val="Prrafodelista"/>
              <w:numPr>
                <w:ilvl w:val="0"/>
                <w:numId w:val="3"/>
              </w:numPr>
              <w:shd w:val="clear" w:color="auto" w:fill="FFFFFF"/>
              <w:spacing w:before="100" w:beforeAutospacing="1" w:after="0" w:afterAutospacing="1" w:line="240" w:lineRule="auto"/>
              <w:jc w:val="both"/>
              <w:rPr>
                <w:rFonts w:eastAsia="Times New Roman" w:cs="Arial"/>
                <w:color w:val="000000"/>
                <w:sz w:val="18"/>
                <w:szCs w:val="18"/>
                <w:lang w:eastAsia="es-CO"/>
              </w:rPr>
            </w:pPr>
            <w:r w:rsidRPr="009311E8">
              <w:rPr>
                <w:rFonts w:cs="Arial"/>
                <w:b/>
                <w:color w:val="000000"/>
                <w:sz w:val="18"/>
                <w:szCs w:val="18"/>
                <w:shd w:val="clear" w:color="auto" w:fill="FFFFFF"/>
              </w:rPr>
              <w:t>ASISTENCIA PARA LA EMPLEABILID</w:t>
            </w:r>
            <w:bookmarkStart w:id="0" w:name="_GoBack"/>
            <w:bookmarkEnd w:id="0"/>
            <w:r w:rsidRPr="009311E8">
              <w:rPr>
                <w:rFonts w:cs="Arial"/>
                <w:b/>
                <w:color w:val="000000"/>
                <w:sz w:val="18"/>
                <w:szCs w:val="18"/>
                <w:shd w:val="clear" w:color="auto" w:fill="FFFFFF"/>
              </w:rPr>
              <w:t>AD. INDICADOR:</w:t>
            </w:r>
            <w:r w:rsidRPr="009311E8">
              <w:rPr>
                <w:rFonts w:cs="Arial"/>
                <w:color w:val="000000"/>
                <w:sz w:val="18"/>
                <w:szCs w:val="18"/>
                <w:shd w:val="clear" w:color="auto" w:fill="FFFFFF"/>
              </w:rPr>
              <w:t xml:space="preserve"> Número de capacitados: 8595 Meta: 4.500 capacitados</w:t>
            </w:r>
          </w:p>
          <w:p w:rsidR="0042060C" w:rsidRPr="009311E8" w:rsidRDefault="0042060C" w:rsidP="0091449B">
            <w:pPr>
              <w:numPr>
                <w:ilvl w:val="0"/>
                <w:numId w:val="3"/>
              </w:numPr>
              <w:shd w:val="clear" w:color="auto" w:fill="FFFFFF"/>
              <w:spacing w:before="100" w:beforeAutospacing="1" w:after="100" w:afterAutospacing="1" w:line="240" w:lineRule="auto"/>
              <w:jc w:val="both"/>
              <w:rPr>
                <w:rFonts w:eastAsia="Times New Roman" w:cs="Arial"/>
                <w:color w:val="000000"/>
                <w:sz w:val="18"/>
                <w:szCs w:val="18"/>
                <w:lang w:eastAsia="es-CO"/>
              </w:rPr>
            </w:pPr>
            <w:r w:rsidRPr="009311E8">
              <w:rPr>
                <w:rFonts w:eastAsia="Times New Roman" w:cs="Arial"/>
                <w:b/>
                <w:color w:val="000000"/>
                <w:sz w:val="18"/>
                <w:szCs w:val="18"/>
                <w:lang w:eastAsia="es-CO"/>
              </w:rPr>
              <w:t>INICIATIVAS EMPRESARIALES:</w:t>
            </w:r>
            <w:r w:rsidRPr="009311E8">
              <w:rPr>
                <w:rFonts w:eastAsia="Times New Roman" w:cs="Arial"/>
                <w:color w:val="000000"/>
                <w:sz w:val="18"/>
                <w:szCs w:val="18"/>
                <w:lang w:eastAsia="es-CO"/>
              </w:rPr>
              <w:t xml:space="preserve"> Número de iniciativas apoyadas: 2.208     Meta: 150</w:t>
            </w:r>
          </w:p>
          <w:p w:rsidR="0042060C" w:rsidRPr="009311E8" w:rsidRDefault="0042060C" w:rsidP="0091449B">
            <w:pPr>
              <w:numPr>
                <w:ilvl w:val="0"/>
                <w:numId w:val="3"/>
              </w:numPr>
              <w:shd w:val="clear" w:color="auto" w:fill="FFFFFF"/>
              <w:spacing w:before="100" w:beforeAutospacing="1" w:after="100" w:afterAutospacing="1" w:line="240" w:lineRule="auto"/>
              <w:ind w:left="0" w:firstLine="0"/>
              <w:jc w:val="both"/>
              <w:rPr>
                <w:rFonts w:eastAsia="Times New Roman" w:cs="Arial"/>
                <w:color w:val="000000"/>
                <w:sz w:val="18"/>
                <w:szCs w:val="18"/>
                <w:lang w:eastAsia="es-CO"/>
              </w:rPr>
            </w:pPr>
            <w:r w:rsidRPr="009311E8">
              <w:rPr>
                <w:rFonts w:eastAsia="Times New Roman" w:cs="Arial"/>
                <w:b/>
                <w:color w:val="000000"/>
                <w:sz w:val="18"/>
                <w:szCs w:val="18"/>
                <w:lang w:eastAsia="es-CO"/>
              </w:rPr>
              <w:t>FORTALECIMIENTO EMPRESARIAL:</w:t>
            </w:r>
            <w:r w:rsidRPr="009311E8">
              <w:rPr>
                <w:rFonts w:eastAsia="Times New Roman" w:cs="Arial"/>
                <w:color w:val="000000"/>
                <w:sz w:val="18"/>
                <w:szCs w:val="18"/>
                <w:lang w:eastAsia="es-CO"/>
              </w:rPr>
              <w:t xml:space="preserve"> Número de micro y pequeñas empresas que reciben asistencia técnica: 1935    Meta: 2.000.  </w:t>
            </w:r>
          </w:p>
          <w:p w:rsidR="0042060C" w:rsidRPr="009311E8" w:rsidRDefault="0042060C" w:rsidP="0091449B">
            <w:pPr>
              <w:pStyle w:val="Prrafodelista"/>
              <w:numPr>
                <w:ilvl w:val="0"/>
                <w:numId w:val="3"/>
              </w:numPr>
              <w:spacing w:after="0" w:line="240" w:lineRule="auto"/>
              <w:jc w:val="both"/>
              <w:rPr>
                <w:rFonts w:eastAsia="Times New Roman" w:cs="Times New Roman"/>
                <w:color w:val="000000"/>
                <w:sz w:val="18"/>
                <w:szCs w:val="18"/>
                <w:lang w:eastAsia="es-CO"/>
              </w:rPr>
            </w:pPr>
            <w:r w:rsidRPr="009311E8">
              <w:rPr>
                <w:rFonts w:eastAsia="Times New Roman" w:cs="Arial"/>
                <w:b/>
                <w:bCs/>
                <w:color w:val="000000"/>
                <w:sz w:val="18"/>
                <w:szCs w:val="18"/>
                <w:lang w:eastAsia="es-CO"/>
              </w:rPr>
              <w:t xml:space="preserve">NUEVOS EMPLEOS GENERADOS: </w:t>
            </w:r>
            <w:r w:rsidRPr="009311E8">
              <w:rPr>
                <w:rFonts w:eastAsia="Times New Roman" w:cs="Arial"/>
                <w:bCs/>
                <w:color w:val="000000"/>
                <w:sz w:val="18"/>
                <w:szCs w:val="18"/>
                <w:lang w:eastAsia="es-CO"/>
              </w:rPr>
              <w:t>Número de empleos generados: 13.983  Meta: 2.500 empleos generados.</w:t>
            </w:r>
          </w:p>
          <w:p w:rsidR="0042060C" w:rsidRPr="009311E8" w:rsidRDefault="0042060C" w:rsidP="0091449B">
            <w:pPr>
              <w:spacing w:after="0" w:line="240" w:lineRule="auto"/>
              <w:jc w:val="both"/>
              <w:rPr>
                <w:rFonts w:eastAsia="Times New Roman" w:cs="Times New Roman"/>
                <w:color w:val="000000"/>
                <w:sz w:val="18"/>
                <w:szCs w:val="18"/>
                <w:lang w:eastAsia="es-CO"/>
              </w:rPr>
            </w:pPr>
          </w:p>
        </w:tc>
        <w:tc>
          <w:tcPr>
            <w:tcW w:w="4400" w:type="dxa"/>
            <w:tcBorders>
              <w:top w:val="single" w:sz="4" w:space="0" w:color="auto"/>
              <w:left w:val="single" w:sz="4" w:space="0" w:color="auto"/>
              <w:bottom w:val="single" w:sz="8" w:space="0" w:color="auto"/>
              <w:right w:val="single" w:sz="8" w:space="0" w:color="auto"/>
            </w:tcBorders>
            <w:shd w:val="clear" w:color="auto" w:fill="auto"/>
            <w:noWrap/>
            <w:hideMark/>
          </w:tcPr>
          <w:p w:rsidR="009E1EC4" w:rsidRPr="009311E8" w:rsidRDefault="009E1EC4" w:rsidP="0091449B">
            <w:pPr>
              <w:spacing w:after="0" w:line="240" w:lineRule="auto"/>
              <w:jc w:val="both"/>
              <w:rPr>
                <w:rFonts w:eastAsia="Times New Roman" w:cs="Times New Roman"/>
                <w:color w:val="000000"/>
                <w:sz w:val="18"/>
                <w:szCs w:val="18"/>
                <w:lang w:eastAsia="es-CO"/>
              </w:rPr>
            </w:pPr>
            <w:r w:rsidRPr="009311E8">
              <w:rPr>
                <w:rFonts w:eastAsia="Times New Roman" w:cs="Times New Roman"/>
                <w:color w:val="000000"/>
                <w:sz w:val="18"/>
                <w:szCs w:val="18"/>
                <w:lang w:eastAsia="es-CO"/>
              </w:rPr>
              <w:t> </w:t>
            </w:r>
          </w:p>
        </w:tc>
      </w:tr>
      <w:tr w:rsidR="009E1EC4" w:rsidRPr="00DC7A2A" w:rsidTr="00256FF7">
        <w:trPr>
          <w:trHeight w:val="288"/>
        </w:trPr>
        <w:tc>
          <w:tcPr>
            <w:tcW w:w="4465" w:type="dxa"/>
            <w:tcBorders>
              <w:top w:val="nil"/>
              <w:left w:val="nil"/>
              <w:bottom w:val="nil"/>
              <w:right w:val="nil"/>
            </w:tcBorders>
            <w:shd w:val="clear" w:color="auto" w:fill="auto"/>
            <w:hideMark/>
          </w:tcPr>
          <w:p w:rsidR="009E1EC4" w:rsidRPr="00DC7A2A" w:rsidRDefault="009E1EC4" w:rsidP="0091449B">
            <w:pPr>
              <w:spacing w:after="0" w:line="240" w:lineRule="auto"/>
              <w:rPr>
                <w:rFonts w:eastAsia="Times New Roman" w:cs="Times New Roman"/>
                <w:color w:val="000000"/>
                <w:sz w:val="18"/>
                <w:szCs w:val="18"/>
                <w:lang w:eastAsia="es-CO"/>
              </w:rPr>
            </w:pPr>
            <w:r w:rsidRPr="00DC7A2A">
              <w:rPr>
                <w:rFonts w:eastAsia="Times New Roman" w:cs="Times New Roman"/>
                <w:color w:val="000000"/>
                <w:sz w:val="18"/>
                <w:szCs w:val="18"/>
                <w:lang w:eastAsia="es-CO"/>
              </w:rPr>
              <w:t>Fuente: Ministerio del trabajo</w:t>
            </w:r>
          </w:p>
        </w:tc>
        <w:tc>
          <w:tcPr>
            <w:tcW w:w="4335" w:type="dxa"/>
            <w:tcBorders>
              <w:top w:val="nil"/>
              <w:left w:val="nil"/>
              <w:bottom w:val="nil"/>
              <w:right w:val="nil"/>
            </w:tcBorders>
            <w:shd w:val="clear" w:color="auto" w:fill="auto"/>
            <w:hideMark/>
          </w:tcPr>
          <w:p w:rsidR="009E1EC4" w:rsidRPr="00DC7A2A" w:rsidRDefault="009E1EC4" w:rsidP="0091449B">
            <w:pPr>
              <w:spacing w:after="0" w:line="240" w:lineRule="auto"/>
              <w:rPr>
                <w:rFonts w:eastAsia="Times New Roman" w:cs="Times New Roman"/>
                <w:color w:val="000000"/>
                <w:sz w:val="18"/>
                <w:szCs w:val="18"/>
                <w:lang w:eastAsia="es-CO"/>
              </w:rPr>
            </w:pPr>
          </w:p>
        </w:tc>
        <w:tc>
          <w:tcPr>
            <w:tcW w:w="4400" w:type="dxa"/>
            <w:tcBorders>
              <w:top w:val="nil"/>
              <w:left w:val="nil"/>
              <w:bottom w:val="nil"/>
              <w:right w:val="nil"/>
            </w:tcBorders>
            <w:shd w:val="clear" w:color="auto" w:fill="auto"/>
            <w:hideMark/>
          </w:tcPr>
          <w:p w:rsidR="009E1EC4" w:rsidRPr="00DC7A2A" w:rsidRDefault="009E1EC4" w:rsidP="0091449B">
            <w:pPr>
              <w:spacing w:after="0" w:line="240" w:lineRule="auto"/>
              <w:rPr>
                <w:rFonts w:eastAsia="Times New Roman" w:cs="Times New Roman"/>
                <w:sz w:val="18"/>
                <w:szCs w:val="18"/>
                <w:lang w:eastAsia="es-CO"/>
              </w:rPr>
            </w:pPr>
          </w:p>
        </w:tc>
      </w:tr>
    </w:tbl>
    <w:p w:rsidR="007F5EC3" w:rsidRPr="00DC7A2A" w:rsidRDefault="007F5EC3" w:rsidP="0091449B">
      <w:pPr>
        <w:spacing w:line="240" w:lineRule="auto"/>
        <w:rPr>
          <w:sz w:val="18"/>
          <w:szCs w:val="18"/>
        </w:rPr>
      </w:pPr>
    </w:p>
    <w:p w:rsidR="007F5EC3" w:rsidRPr="00DC7A2A" w:rsidRDefault="007F5EC3" w:rsidP="0091449B">
      <w:pPr>
        <w:spacing w:line="240" w:lineRule="auto"/>
        <w:rPr>
          <w:sz w:val="18"/>
          <w:szCs w:val="18"/>
        </w:rPr>
      </w:pPr>
    </w:p>
    <w:p w:rsidR="00257518" w:rsidRPr="00DC7A2A" w:rsidRDefault="007F5EC3" w:rsidP="0091449B">
      <w:pPr>
        <w:spacing w:line="240" w:lineRule="auto"/>
        <w:rPr>
          <w:sz w:val="18"/>
          <w:szCs w:val="18"/>
          <w:u w:val="single"/>
        </w:rPr>
      </w:pPr>
      <w:r w:rsidRPr="00DC7A2A">
        <w:rPr>
          <w:sz w:val="18"/>
          <w:szCs w:val="18"/>
          <w:u w:val="single"/>
        </w:rPr>
        <w:t xml:space="preserve">Contacto: </w:t>
      </w:r>
    </w:p>
    <w:p w:rsidR="007F5EC3" w:rsidRPr="00DC7A2A" w:rsidRDefault="007F5EC3" w:rsidP="0091449B">
      <w:pPr>
        <w:spacing w:line="240" w:lineRule="auto"/>
        <w:rPr>
          <w:sz w:val="18"/>
          <w:szCs w:val="18"/>
        </w:rPr>
      </w:pPr>
      <w:r w:rsidRPr="00DC7A2A">
        <w:rPr>
          <w:sz w:val="18"/>
          <w:szCs w:val="18"/>
        </w:rPr>
        <w:t>Ministerio de Trabajo</w:t>
      </w:r>
    </w:p>
    <w:p w:rsidR="00257518" w:rsidRPr="00DC7A2A" w:rsidRDefault="00257518" w:rsidP="0091449B">
      <w:pPr>
        <w:spacing w:line="240" w:lineRule="auto"/>
        <w:rPr>
          <w:sz w:val="18"/>
          <w:szCs w:val="18"/>
        </w:rPr>
      </w:pPr>
      <w:r w:rsidRPr="00DC7A2A">
        <w:rPr>
          <w:sz w:val="18"/>
          <w:szCs w:val="18"/>
        </w:rPr>
        <w:t>Asesor de la Dirección de Generación y Protección del Empleo y el Subsidio Familiar</w:t>
      </w:r>
    </w:p>
    <w:p w:rsidR="007F5EC3" w:rsidRPr="00DC7A2A" w:rsidRDefault="007F5EC3" w:rsidP="0091449B">
      <w:pPr>
        <w:spacing w:line="240" w:lineRule="auto"/>
        <w:rPr>
          <w:sz w:val="18"/>
          <w:szCs w:val="18"/>
        </w:rPr>
      </w:pPr>
      <w:r w:rsidRPr="00DC7A2A">
        <w:rPr>
          <w:sz w:val="18"/>
          <w:szCs w:val="18"/>
        </w:rPr>
        <w:t xml:space="preserve">Mario Alberto Rodriguez Diaz </w:t>
      </w:r>
    </w:p>
    <w:p w:rsidR="007F5EC3" w:rsidRPr="00DC7A2A" w:rsidRDefault="007F5EC3" w:rsidP="0091449B">
      <w:pPr>
        <w:spacing w:line="240" w:lineRule="auto"/>
        <w:rPr>
          <w:sz w:val="18"/>
          <w:szCs w:val="18"/>
        </w:rPr>
      </w:pPr>
      <w:r w:rsidRPr="00DC7A2A">
        <w:rPr>
          <w:sz w:val="18"/>
          <w:szCs w:val="18"/>
        </w:rPr>
        <w:t>mrodriguez@mintrabajo.gov.co</w:t>
      </w:r>
    </w:p>
    <w:p w:rsidR="007F5EC3" w:rsidRPr="00DC7A2A" w:rsidRDefault="007F5EC3" w:rsidP="0091449B">
      <w:pPr>
        <w:spacing w:line="240" w:lineRule="auto"/>
        <w:rPr>
          <w:sz w:val="18"/>
          <w:szCs w:val="18"/>
        </w:rPr>
      </w:pPr>
    </w:p>
    <w:p w:rsidR="00770E05" w:rsidRPr="00DC7A2A" w:rsidRDefault="00770E05" w:rsidP="0091449B">
      <w:pPr>
        <w:spacing w:line="240" w:lineRule="auto"/>
        <w:rPr>
          <w:sz w:val="18"/>
          <w:szCs w:val="18"/>
        </w:rPr>
      </w:pPr>
    </w:p>
    <w:p w:rsidR="00770E05" w:rsidRPr="00DC7A2A" w:rsidRDefault="00770E05" w:rsidP="0091449B">
      <w:pPr>
        <w:spacing w:line="240" w:lineRule="auto"/>
        <w:rPr>
          <w:sz w:val="18"/>
          <w:szCs w:val="18"/>
        </w:rPr>
      </w:pPr>
    </w:p>
    <w:p w:rsidR="00770E05" w:rsidRPr="00DC7A2A" w:rsidRDefault="00770E05" w:rsidP="0091449B">
      <w:pPr>
        <w:spacing w:line="240" w:lineRule="auto"/>
        <w:rPr>
          <w:sz w:val="18"/>
          <w:szCs w:val="18"/>
        </w:rPr>
      </w:pPr>
    </w:p>
    <w:p w:rsidR="00770E05" w:rsidRPr="00DC7A2A" w:rsidRDefault="00770E05" w:rsidP="0091449B">
      <w:pPr>
        <w:spacing w:line="240" w:lineRule="auto"/>
        <w:rPr>
          <w:sz w:val="18"/>
          <w:szCs w:val="18"/>
        </w:rPr>
      </w:pPr>
    </w:p>
    <w:sectPr w:rsidR="00770E05" w:rsidRPr="00DC7A2A" w:rsidSect="00B474BA">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B20" w:rsidRDefault="00155B20" w:rsidP="0050528D">
      <w:pPr>
        <w:spacing w:after="0" w:line="240" w:lineRule="auto"/>
      </w:pPr>
      <w:r>
        <w:separator/>
      </w:r>
    </w:p>
  </w:endnote>
  <w:endnote w:type="continuationSeparator" w:id="0">
    <w:p w:rsidR="00155B20" w:rsidRDefault="00155B20" w:rsidP="005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B20" w:rsidRDefault="00155B20" w:rsidP="0050528D">
      <w:pPr>
        <w:spacing w:after="0" w:line="240" w:lineRule="auto"/>
      </w:pPr>
      <w:r>
        <w:separator/>
      </w:r>
    </w:p>
  </w:footnote>
  <w:footnote w:type="continuationSeparator" w:id="0">
    <w:p w:rsidR="00155B20" w:rsidRDefault="00155B20" w:rsidP="00505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24" w:rsidRDefault="00274724" w:rsidP="00274724">
    <w:pPr>
      <w:pStyle w:val="Encabezado"/>
      <w:ind w:firstLine="1416"/>
    </w:pPr>
    <w:r w:rsidRPr="00A14D79">
      <w:rPr>
        <w:rFonts w:eastAsia="Times New Roman"/>
        <w:noProof/>
        <w:color w:val="000000"/>
        <w:lang w:eastAsia="es-CO"/>
      </w:rPr>
      <w:drawing>
        <wp:anchor distT="0" distB="0" distL="114300" distR="114300" simplePos="0" relativeHeight="251646464" behindDoc="0" locked="0" layoutInCell="1" allowOverlap="1">
          <wp:simplePos x="0" y="0"/>
          <wp:positionH relativeFrom="column">
            <wp:posOffset>5434330</wp:posOffset>
          </wp:positionH>
          <wp:positionV relativeFrom="paragraph">
            <wp:posOffset>-192404</wp:posOffset>
          </wp:positionV>
          <wp:extent cx="685800" cy="577850"/>
          <wp:effectExtent l="0" t="0" r="0"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785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5680" behindDoc="0" locked="0" layoutInCell="1" allowOverlap="1">
          <wp:simplePos x="0" y="0"/>
          <wp:positionH relativeFrom="column">
            <wp:posOffset>6187440</wp:posOffset>
          </wp:positionH>
          <wp:positionV relativeFrom="paragraph">
            <wp:posOffset>-107315</wp:posOffset>
          </wp:positionV>
          <wp:extent cx="714375" cy="546100"/>
          <wp:effectExtent l="0" t="0" r="9525"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2">
                    <a:extLst>
                      <a:ext uri="{28A0092B-C50C-407E-A947-70E740481C1C}">
                        <a14:useLocalDpi xmlns:a14="http://schemas.microsoft.com/office/drawing/2010/main" val="0"/>
                      </a:ext>
                    </a:extLst>
                  </a:blip>
                  <a:srcRect l="19257" r="20976" b="-6374"/>
                  <a:stretch>
                    <a:fillRect/>
                  </a:stretch>
                </pic:blipFill>
                <pic:spPr bwMode="auto">
                  <a:xfrm>
                    <a:off x="0" y="0"/>
                    <a:ext cx="714375" cy="5461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78208" behindDoc="0" locked="0" layoutInCell="1" allowOverlap="1">
          <wp:simplePos x="0" y="0"/>
          <wp:positionH relativeFrom="column">
            <wp:posOffset>4101465</wp:posOffset>
          </wp:positionH>
          <wp:positionV relativeFrom="paragraph">
            <wp:posOffset>6985</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3">
                    <a:extLst>
                      <a:ext uri="{28A0092B-C50C-407E-A947-70E740481C1C}">
                        <a14:useLocalDpi xmlns:a14="http://schemas.microsoft.com/office/drawing/2010/main" val="0"/>
                      </a:ext>
                    </a:extLst>
                  </a:blip>
                  <a:srcRect l="50322"/>
                  <a:stretch>
                    <a:fillRect/>
                  </a:stretch>
                </pic:blipFill>
                <pic:spPr bwMode="auto">
                  <a:xfrm>
                    <a:off x="0" y="0"/>
                    <a:ext cx="1123950" cy="3429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63872" behindDoc="0" locked="0" layoutInCell="1" allowOverlap="1">
          <wp:simplePos x="0" y="0"/>
          <wp:positionH relativeFrom="column">
            <wp:posOffset>-32385</wp:posOffset>
          </wp:positionH>
          <wp:positionV relativeFrom="paragraph">
            <wp:posOffset>6985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37592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71040" behindDoc="0" locked="0" layoutInCell="1" allowOverlap="1">
          <wp:simplePos x="0" y="0"/>
          <wp:positionH relativeFrom="column">
            <wp:posOffset>1367790</wp:posOffset>
          </wp:positionH>
          <wp:positionV relativeFrom="paragraph">
            <wp:posOffset>-40005</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3">
                    <a:extLst>
                      <a:ext uri="{28A0092B-C50C-407E-A947-70E740481C1C}">
                        <a14:useLocalDpi xmlns:a14="http://schemas.microsoft.com/office/drawing/2010/main" val="0"/>
                      </a:ext>
                    </a:extLst>
                  </a:blip>
                  <a:srcRect t="29411" r="52258" b="20168"/>
                  <a:stretch>
                    <a:fillRect/>
                  </a:stretch>
                </pic:blipFill>
                <pic:spPr bwMode="auto">
                  <a:xfrm>
                    <a:off x="0" y="0"/>
                    <a:ext cx="1253964" cy="447675"/>
                  </a:xfrm>
                  <a:prstGeom prst="rect">
                    <a:avLst/>
                  </a:prstGeom>
                  <a:noFill/>
                  <a:ln>
                    <a:noFill/>
                  </a:ln>
                  <a:extLst/>
                </pic:spPr>
              </pic:pic>
            </a:graphicData>
          </a:graphic>
        </wp:anchor>
      </w:drawing>
    </w:r>
    <w:r>
      <w:t xml:space="preserve">      </w:t>
    </w:r>
    <w:r>
      <w:rPr>
        <w:noProof/>
        <w:lang w:eastAsia="es-CO"/>
      </w:rPr>
      <w:t xml:space="preserve">                                                    </w:t>
    </w:r>
    <w:r w:rsidRPr="00DB1D3F">
      <w:rPr>
        <w:noProof/>
        <w:lang w:eastAsia="es-CO"/>
      </w:rPr>
      <w:drawing>
        <wp:inline distT="0" distB="0" distL="0" distR="0">
          <wp:extent cx="1219200" cy="423193"/>
          <wp:effectExtent l="0" t="0" r="0" b="0"/>
          <wp:docPr id="7" name="Imagen 7" descr="C:\Users\carotorres\Desktop\MINTRABA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torres\Desktop\MINTRABAJO.png"/>
                  <pic:cNvPicPr>
                    <a:picLocks noChangeAspect="1" noChangeArrowheads="1"/>
                  </pic:cNvPicPr>
                </pic:nvPicPr>
                <pic:blipFill rotWithShape="1">
                  <a:blip r:embed="rId5">
                    <a:extLst>
                      <a:ext uri="{28A0092B-C50C-407E-A947-70E740481C1C}">
                        <a14:useLocalDpi xmlns:a14="http://schemas.microsoft.com/office/drawing/2010/main" val="0"/>
                      </a:ext>
                    </a:extLst>
                  </a:blip>
                  <a:srcRect t="39382" r="58916" b="18744"/>
                  <a:stretch/>
                </pic:blipFill>
                <pic:spPr bwMode="auto">
                  <a:xfrm>
                    <a:off x="0" y="0"/>
                    <a:ext cx="1234995" cy="428676"/>
                  </a:xfrm>
                  <a:prstGeom prst="rect">
                    <a:avLst/>
                  </a:prstGeom>
                  <a:noFill/>
                  <a:ln>
                    <a:noFill/>
                  </a:ln>
                  <a:extLst>
                    <a:ext uri="{53640926-AAD7-44D8-BBD7-CCE9431645EC}">
                      <a14:shadowObscured xmlns:a14="http://schemas.microsoft.com/office/drawing/2010/main"/>
                    </a:ext>
                  </a:extLst>
                </pic:spPr>
              </pic:pic>
            </a:graphicData>
          </a:graphic>
        </wp:inline>
      </w:drawing>
    </w:r>
  </w:p>
  <w:p w:rsidR="0050528D" w:rsidRDefault="00256FF7">
    <w:pPr>
      <w:pStyle w:val="Encabezad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D35"/>
    <w:multiLevelType w:val="hybridMultilevel"/>
    <w:tmpl w:val="114E60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A21ABB"/>
    <w:multiLevelType w:val="hybridMultilevel"/>
    <w:tmpl w:val="30BE3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7F259DB"/>
    <w:multiLevelType w:val="hybridMultilevel"/>
    <w:tmpl w:val="7A1E5904"/>
    <w:lvl w:ilvl="0" w:tplc="621A0ACC">
      <w:start w:val="3"/>
      <w:numFmt w:val="bullet"/>
      <w:lvlText w:val="-"/>
      <w:lvlJc w:val="left"/>
      <w:pPr>
        <w:ind w:left="390" w:hanging="360"/>
      </w:pPr>
      <w:rPr>
        <w:rFonts w:ascii="Calibri" w:eastAsia="Times New Roman" w:hAnsi="Calibri" w:cs="Times New Roman" w:hint="default"/>
      </w:rPr>
    </w:lvl>
    <w:lvl w:ilvl="1" w:tplc="240A0003" w:tentative="1">
      <w:start w:val="1"/>
      <w:numFmt w:val="bullet"/>
      <w:lvlText w:val="o"/>
      <w:lvlJc w:val="left"/>
      <w:pPr>
        <w:ind w:left="1110" w:hanging="360"/>
      </w:pPr>
      <w:rPr>
        <w:rFonts w:ascii="Courier New" w:hAnsi="Courier New" w:cs="Courier New" w:hint="default"/>
      </w:rPr>
    </w:lvl>
    <w:lvl w:ilvl="2" w:tplc="240A0005" w:tentative="1">
      <w:start w:val="1"/>
      <w:numFmt w:val="bullet"/>
      <w:lvlText w:val=""/>
      <w:lvlJc w:val="left"/>
      <w:pPr>
        <w:ind w:left="1830" w:hanging="360"/>
      </w:pPr>
      <w:rPr>
        <w:rFonts w:ascii="Wingdings" w:hAnsi="Wingdings" w:hint="default"/>
      </w:rPr>
    </w:lvl>
    <w:lvl w:ilvl="3" w:tplc="240A0001" w:tentative="1">
      <w:start w:val="1"/>
      <w:numFmt w:val="bullet"/>
      <w:lvlText w:val=""/>
      <w:lvlJc w:val="left"/>
      <w:pPr>
        <w:ind w:left="2550" w:hanging="360"/>
      </w:pPr>
      <w:rPr>
        <w:rFonts w:ascii="Symbol" w:hAnsi="Symbol" w:hint="default"/>
      </w:rPr>
    </w:lvl>
    <w:lvl w:ilvl="4" w:tplc="240A0003" w:tentative="1">
      <w:start w:val="1"/>
      <w:numFmt w:val="bullet"/>
      <w:lvlText w:val="o"/>
      <w:lvlJc w:val="left"/>
      <w:pPr>
        <w:ind w:left="3270" w:hanging="360"/>
      </w:pPr>
      <w:rPr>
        <w:rFonts w:ascii="Courier New" w:hAnsi="Courier New" w:cs="Courier New" w:hint="default"/>
      </w:rPr>
    </w:lvl>
    <w:lvl w:ilvl="5" w:tplc="240A0005" w:tentative="1">
      <w:start w:val="1"/>
      <w:numFmt w:val="bullet"/>
      <w:lvlText w:val=""/>
      <w:lvlJc w:val="left"/>
      <w:pPr>
        <w:ind w:left="3990" w:hanging="360"/>
      </w:pPr>
      <w:rPr>
        <w:rFonts w:ascii="Wingdings" w:hAnsi="Wingdings" w:hint="default"/>
      </w:rPr>
    </w:lvl>
    <w:lvl w:ilvl="6" w:tplc="240A0001" w:tentative="1">
      <w:start w:val="1"/>
      <w:numFmt w:val="bullet"/>
      <w:lvlText w:val=""/>
      <w:lvlJc w:val="left"/>
      <w:pPr>
        <w:ind w:left="4710" w:hanging="360"/>
      </w:pPr>
      <w:rPr>
        <w:rFonts w:ascii="Symbol" w:hAnsi="Symbol" w:hint="default"/>
      </w:rPr>
    </w:lvl>
    <w:lvl w:ilvl="7" w:tplc="240A0003" w:tentative="1">
      <w:start w:val="1"/>
      <w:numFmt w:val="bullet"/>
      <w:lvlText w:val="o"/>
      <w:lvlJc w:val="left"/>
      <w:pPr>
        <w:ind w:left="5430" w:hanging="360"/>
      </w:pPr>
      <w:rPr>
        <w:rFonts w:ascii="Courier New" w:hAnsi="Courier New" w:cs="Courier New" w:hint="default"/>
      </w:rPr>
    </w:lvl>
    <w:lvl w:ilvl="8" w:tplc="240A0005" w:tentative="1">
      <w:start w:val="1"/>
      <w:numFmt w:val="bullet"/>
      <w:lvlText w:val=""/>
      <w:lvlJc w:val="left"/>
      <w:pPr>
        <w:ind w:left="6150" w:hanging="360"/>
      </w:pPr>
      <w:rPr>
        <w:rFonts w:ascii="Wingdings" w:hAnsi="Wingdings" w:hint="default"/>
      </w:rPr>
    </w:lvl>
  </w:abstractNum>
  <w:abstractNum w:abstractNumId="3">
    <w:nsid w:val="501631C7"/>
    <w:multiLevelType w:val="hybridMultilevel"/>
    <w:tmpl w:val="CF604930"/>
    <w:lvl w:ilvl="0" w:tplc="21AAE79A">
      <w:start w:val="1"/>
      <w:numFmt w:val="bullet"/>
      <w:lvlText w:val="•"/>
      <w:lvlJc w:val="left"/>
      <w:pPr>
        <w:tabs>
          <w:tab w:val="num" w:pos="720"/>
        </w:tabs>
        <w:ind w:left="720" w:hanging="360"/>
      </w:pPr>
      <w:rPr>
        <w:rFonts w:ascii="Arial" w:hAnsi="Arial" w:hint="default"/>
      </w:rPr>
    </w:lvl>
    <w:lvl w:ilvl="1" w:tplc="A9E653E4" w:tentative="1">
      <w:start w:val="1"/>
      <w:numFmt w:val="bullet"/>
      <w:lvlText w:val="•"/>
      <w:lvlJc w:val="left"/>
      <w:pPr>
        <w:tabs>
          <w:tab w:val="num" w:pos="1440"/>
        </w:tabs>
        <w:ind w:left="1440" w:hanging="360"/>
      </w:pPr>
      <w:rPr>
        <w:rFonts w:ascii="Arial" w:hAnsi="Arial" w:hint="default"/>
      </w:rPr>
    </w:lvl>
    <w:lvl w:ilvl="2" w:tplc="E2BAB6A4" w:tentative="1">
      <w:start w:val="1"/>
      <w:numFmt w:val="bullet"/>
      <w:lvlText w:val="•"/>
      <w:lvlJc w:val="left"/>
      <w:pPr>
        <w:tabs>
          <w:tab w:val="num" w:pos="2160"/>
        </w:tabs>
        <w:ind w:left="2160" w:hanging="360"/>
      </w:pPr>
      <w:rPr>
        <w:rFonts w:ascii="Arial" w:hAnsi="Arial" w:hint="default"/>
      </w:rPr>
    </w:lvl>
    <w:lvl w:ilvl="3" w:tplc="2F566282" w:tentative="1">
      <w:start w:val="1"/>
      <w:numFmt w:val="bullet"/>
      <w:lvlText w:val="•"/>
      <w:lvlJc w:val="left"/>
      <w:pPr>
        <w:tabs>
          <w:tab w:val="num" w:pos="2880"/>
        </w:tabs>
        <w:ind w:left="2880" w:hanging="360"/>
      </w:pPr>
      <w:rPr>
        <w:rFonts w:ascii="Arial" w:hAnsi="Arial" w:hint="default"/>
      </w:rPr>
    </w:lvl>
    <w:lvl w:ilvl="4" w:tplc="9D0C8434" w:tentative="1">
      <w:start w:val="1"/>
      <w:numFmt w:val="bullet"/>
      <w:lvlText w:val="•"/>
      <w:lvlJc w:val="left"/>
      <w:pPr>
        <w:tabs>
          <w:tab w:val="num" w:pos="3600"/>
        </w:tabs>
        <w:ind w:left="3600" w:hanging="360"/>
      </w:pPr>
      <w:rPr>
        <w:rFonts w:ascii="Arial" w:hAnsi="Arial" w:hint="default"/>
      </w:rPr>
    </w:lvl>
    <w:lvl w:ilvl="5" w:tplc="53C8A9FA" w:tentative="1">
      <w:start w:val="1"/>
      <w:numFmt w:val="bullet"/>
      <w:lvlText w:val="•"/>
      <w:lvlJc w:val="left"/>
      <w:pPr>
        <w:tabs>
          <w:tab w:val="num" w:pos="4320"/>
        </w:tabs>
        <w:ind w:left="4320" w:hanging="360"/>
      </w:pPr>
      <w:rPr>
        <w:rFonts w:ascii="Arial" w:hAnsi="Arial" w:hint="default"/>
      </w:rPr>
    </w:lvl>
    <w:lvl w:ilvl="6" w:tplc="6F4AE5A2" w:tentative="1">
      <w:start w:val="1"/>
      <w:numFmt w:val="bullet"/>
      <w:lvlText w:val="•"/>
      <w:lvlJc w:val="left"/>
      <w:pPr>
        <w:tabs>
          <w:tab w:val="num" w:pos="5040"/>
        </w:tabs>
        <w:ind w:left="5040" w:hanging="360"/>
      </w:pPr>
      <w:rPr>
        <w:rFonts w:ascii="Arial" w:hAnsi="Arial" w:hint="default"/>
      </w:rPr>
    </w:lvl>
    <w:lvl w:ilvl="7" w:tplc="1B5A972A" w:tentative="1">
      <w:start w:val="1"/>
      <w:numFmt w:val="bullet"/>
      <w:lvlText w:val="•"/>
      <w:lvlJc w:val="left"/>
      <w:pPr>
        <w:tabs>
          <w:tab w:val="num" w:pos="5760"/>
        </w:tabs>
        <w:ind w:left="5760" w:hanging="360"/>
      </w:pPr>
      <w:rPr>
        <w:rFonts w:ascii="Arial" w:hAnsi="Arial" w:hint="default"/>
      </w:rPr>
    </w:lvl>
    <w:lvl w:ilvl="8" w:tplc="D0F60E4E" w:tentative="1">
      <w:start w:val="1"/>
      <w:numFmt w:val="bullet"/>
      <w:lvlText w:val="•"/>
      <w:lvlJc w:val="left"/>
      <w:pPr>
        <w:tabs>
          <w:tab w:val="num" w:pos="6480"/>
        </w:tabs>
        <w:ind w:left="6480" w:hanging="360"/>
      </w:pPr>
      <w:rPr>
        <w:rFonts w:ascii="Arial" w:hAnsi="Arial" w:hint="default"/>
      </w:rPr>
    </w:lvl>
  </w:abstractNum>
  <w:abstractNum w:abstractNumId="4">
    <w:nsid w:val="60F0284D"/>
    <w:multiLevelType w:val="hybridMultilevel"/>
    <w:tmpl w:val="C1624C26"/>
    <w:lvl w:ilvl="0" w:tplc="4612850E">
      <w:start w:val="1"/>
      <w:numFmt w:val="bullet"/>
      <w:lvlText w:val="-"/>
      <w:lvlJc w:val="left"/>
      <w:pPr>
        <w:ind w:left="1440" w:hanging="360"/>
      </w:pPr>
      <w:rPr>
        <w:rFonts w:ascii="Century Gothic" w:eastAsia="Calibri" w:hAnsi="Century Gothic" w:cs="Century Gothic"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6CD574CD"/>
    <w:multiLevelType w:val="hybridMultilevel"/>
    <w:tmpl w:val="C63470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BA"/>
    <w:rsid w:val="0001092E"/>
    <w:rsid w:val="00043DEA"/>
    <w:rsid w:val="000D3916"/>
    <w:rsid w:val="00101341"/>
    <w:rsid w:val="001445E7"/>
    <w:rsid w:val="00144A06"/>
    <w:rsid w:val="00155B20"/>
    <w:rsid w:val="00164DF8"/>
    <w:rsid w:val="00190214"/>
    <w:rsid w:val="001C00A1"/>
    <w:rsid w:val="001F74A3"/>
    <w:rsid w:val="002561A4"/>
    <w:rsid w:val="00256FF7"/>
    <w:rsid w:val="00257518"/>
    <w:rsid w:val="00272D43"/>
    <w:rsid w:val="00274724"/>
    <w:rsid w:val="002A6CCD"/>
    <w:rsid w:val="002C0F12"/>
    <w:rsid w:val="00371F82"/>
    <w:rsid w:val="00375559"/>
    <w:rsid w:val="00383175"/>
    <w:rsid w:val="003C0F13"/>
    <w:rsid w:val="003C163A"/>
    <w:rsid w:val="003D3623"/>
    <w:rsid w:val="003D4621"/>
    <w:rsid w:val="003F1D18"/>
    <w:rsid w:val="0042060C"/>
    <w:rsid w:val="004B1A21"/>
    <w:rsid w:val="004C3197"/>
    <w:rsid w:val="0050528D"/>
    <w:rsid w:val="005453B9"/>
    <w:rsid w:val="00582810"/>
    <w:rsid w:val="006135A2"/>
    <w:rsid w:val="006140EE"/>
    <w:rsid w:val="006502BF"/>
    <w:rsid w:val="00654C1B"/>
    <w:rsid w:val="00656E63"/>
    <w:rsid w:val="00664D69"/>
    <w:rsid w:val="00667AF4"/>
    <w:rsid w:val="00694B8F"/>
    <w:rsid w:val="00697BFA"/>
    <w:rsid w:val="006A2739"/>
    <w:rsid w:val="006C11EA"/>
    <w:rsid w:val="006F0D6B"/>
    <w:rsid w:val="00710126"/>
    <w:rsid w:val="0073244D"/>
    <w:rsid w:val="007430B3"/>
    <w:rsid w:val="00770E05"/>
    <w:rsid w:val="007F5EC3"/>
    <w:rsid w:val="00873D0F"/>
    <w:rsid w:val="008946F8"/>
    <w:rsid w:val="0091449B"/>
    <w:rsid w:val="00926857"/>
    <w:rsid w:val="009311E8"/>
    <w:rsid w:val="00937FB6"/>
    <w:rsid w:val="00990156"/>
    <w:rsid w:val="009E1EC4"/>
    <w:rsid w:val="00A30382"/>
    <w:rsid w:val="00AA2A3F"/>
    <w:rsid w:val="00AD7B51"/>
    <w:rsid w:val="00B347BF"/>
    <w:rsid w:val="00B474BA"/>
    <w:rsid w:val="00B70EEA"/>
    <w:rsid w:val="00B87795"/>
    <w:rsid w:val="00BB3AF5"/>
    <w:rsid w:val="00BC016A"/>
    <w:rsid w:val="00BE654D"/>
    <w:rsid w:val="00BF1D59"/>
    <w:rsid w:val="00C17487"/>
    <w:rsid w:val="00C46F17"/>
    <w:rsid w:val="00C5717F"/>
    <w:rsid w:val="00C73DE3"/>
    <w:rsid w:val="00CD1DF1"/>
    <w:rsid w:val="00D007C7"/>
    <w:rsid w:val="00D25B84"/>
    <w:rsid w:val="00D260E6"/>
    <w:rsid w:val="00D344C7"/>
    <w:rsid w:val="00D3630D"/>
    <w:rsid w:val="00D420C6"/>
    <w:rsid w:val="00DC7A2A"/>
    <w:rsid w:val="00E138E4"/>
    <w:rsid w:val="00E44133"/>
    <w:rsid w:val="00E442B5"/>
    <w:rsid w:val="00E549A6"/>
    <w:rsid w:val="00E75D97"/>
    <w:rsid w:val="00E82AC7"/>
    <w:rsid w:val="00ED1452"/>
    <w:rsid w:val="00F322CD"/>
    <w:rsid w:val="00F647A2"/>
    <w:rsid w:val="00F8639C"/>
    <w:rsid w:val="00FC37F3"/>
    <w:rsid w:val="00FC53B8"/>
    <w:rsid w:val="00FD24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901EA4-7B6F-4407-94DA-86FD6948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4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28D"/>
  </w:style>
  <w:style w:type="paragraph" w:styleId="Piedepgina">
    <w:name w:val="footer"/>
    <w:basedOn w:val="Normal"/>
    <w:link w:val="PiedepginaCar"/>
    <w:uiPriority w:val="99"/>
    <w:unhideWhenUsed/>
    <w:rsid w:val="00505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28D"/>
  </w:style>
  <w:style w:type="paragraph" w:styleId="Textodeglobo">
    <w:name w:val="Balloon Text"/>
    <w:basedOn w:val="Normal"/>
    <w:link w:val="TextodegloboCar"/>
    <w:uiPriority w:val="99"/>
    <w:semiHidden/>
    <w:unhideWhenUsed/>
    <w:rsid w:val="007F5E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EC3"/>
    <w:rPr>
      <w:rFonts w:ascii="Tahoma" w:hAnsi="Tahoma" w:cs="Tahoma"/>
      <w:sz w:val="16"/>
      <w:szCs w:val="16"/>
    </w:rPr>
  </w:style>
  <w:style w:type="paragraph" w:styleId="Prrafodelista">
    <w:name w:val="List Paragraph"/>
    <w:aliases w:val="NORMAL"/>
    <w:basedOn w:val="Normal"/>
    <w:link w:val="PrrafodelistaCar"/>
    <w:uiPriority w:val="34"/>
    <w:qFormat/>
    <w:rsid w:val="00656E63"/>
    <w:pPr>
      <w:ind w:left="720"/>
      <w:contextualSpacing/>
    </w:pPr>
  </w:style>
  <w:style w:type="paragraph" w:styleId="NormalWeb">
    <w:name w:val="Normal (Web)"/>
    <w:basedOn w:val="Normal"/>
    <w:uiPriority w:val="99"/>
    <w:semiHidden/>
    <w:unhideWhenUsed/>
    <w:rsid w:val="006A27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aliases w:val="NORMAL Car"/>
    <w:link w:val="Prrafodelista"/>
    <w:uiPriority w:val="34"/>
    <w:locked/>
    <w:rsid w:val="0042060C"/>
  </w:style>
  <w:style w:type="paragraph" w:customStyle="1" w:styleId="Default">
    <w:name w:val="Default"/>
    <w:rsid w:val="00E44133"/>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49023">
      <w:bodyDiv w:val="1"/>
      <w:marLeft w:val="0"/>
      <w:marRight w:val="0"/>
      <w:marTop w:val="0"/>
      <w:marBottom w:val="0"/>
      <w:divBdr>
        <w:top w:val="none" w:sz="0" w:space="0" w:color="auto"/>
        <w:left w:val="none" w:sz="0" w:space="0" w:color="auto"/>
        <w:bottom w:val="none" w:sz="0" w:space="0" w:color="auto"/>
        <w:right w:val="none" w:sz="0" w:space="0" w:color="auto"/>
      </w:divBdr>
    </w:div>
    <w:div w:id="1293558230">
      <w:bodyDiv w:val="1"/>
      <w:marLeft w:val="0"/>
      <w:marRight w:val="0"/>
      <w:marTop w:val="0"/>
      <w:marBottom w:val="0"/>
      <w:divBdr>
        <w:top w:val="none" w:sz="0" w:space="0" w:color="auto"/>
        <w:left w:val="none" w:sz="0" w:space="0" w:color="auto"/>
        <w:bottom w:val="none" w:sz="0" w:space="0" w:color="auto"/>
        <w:right w:val="none" w:sz="0" w:space="0" w:color="auto"/>
      </w:divBdr>
    </w:div>
    <w:div w:id="17040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2064</Words>
  <Characters>11358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SFPT</dc:creator>
  <cp:keywords/>
  <dc:description/>
  <cp:lastModifiedBy>BELKA GUTIERREZ</cp:lastModifiedBy>
  <cp:revision>4</cp:revision>
  <cp:lastPrinted>2015-10-06T19:30:00Z</cp:lastPrinted>
  <dcterms:created xsi:type="dcterms:W3CDTF">2015-10-23T19:46:00Z</dcterms:created>
  <dcterms:modified xsi:type="dcterms:W3CDTF">2015-10-30T18:02:00Z</dcterms:modified>
</cp:coreProperties>
</file>