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C7" w:rsidRPr="00B57548" w:rsidRDefault="004C6822" w:rsidP="00B57548">
      <w:pPr>
        <w:jc w:val="both"/>
        <w:rPr>
          <w:rFonts w:ascii="Arial" w:hAnsi="Arial" w:cs="Arial"/>
          <w:b/>
          <w:sz w:val="24"/>
          <w:szCs w:val="24"/>
        </w:rPr>
      </w:pPr>
      <w:r w:rsidRPr="00B57548">
        <w:rPr>
          <w:rFonts w:ascii="Arial" w:hAnsi="Arial" w:cs="Arial"/>
          <w:b/>
          <w:sz w:val="24"/>
          <w:szCs w:val="24"/>
        </w:rPr>
        <w:t xml:space="preserve">Gestión del </w:t>
      </w:r>
      <w:r w:rsidR="00A259C7" w:rsidRPr="00B57548">
        <w:rPr>
          <w:rFonts w:ascii="Arial" w:hAnsi="Arial" w:cs="Arial"/>
          <w:b/>
          <w:sz w:val="24"/>
          <w:szCs w:val="24"/>
        </w:rPr>
        <w:t>Fondo de Seguridad y Convivencia del Distrito de Barranquilla</w:t>
      </w:r>
      <w:r w:rsidRPr="00B57548">
        <w:rPr>
          <w:rFonts w:ascii="Arial" w:hAnsi="Arial" w:cs="Arial"/>
          <w:b/>
          <w:sz w:val="24"/>
          <w:szCs w:val="24"/>
        </w:rPr>
        <w:t>, 2012-2015.</w:t>
      </w:r>
    </w:p>
    <w:p w:rsidR="00C618B1" w:rsidRPr="00B57548" w:rsidRDefault="00A259C7" w:rsidP="00B57548">
      <w:pPr>
        <w:jc w:val="both"/>
        <w:rPr>
          <w:rFonts w:ascii="Arial" w:hAnsi="Arial" w:cs="Arial"/>
          <w:b/>
          <w:sz w:val="24"/>
          <w:szCs w:val="24"/>
        </w:rPr>
      </w:pPr>
      <w:r w:rsidRPr="00B57548">
        <w:rPr>
          <w:rFonts w:ascii="Arial" w:hAnsi="Arial" w:cs="Arial"/>
          <w:b/>
          <w:sz w:val="24"/>
          <w:szCs w:val="24"/>
        </w:rPr>
        <w:t>Informe Ejecutivo</w:t>
      </w:r>
    </w:p>
    <w:p w:rsidR="00FB0647" w:rsidRPr="00B57548" w:rsidRDefault="00FB0647" w:rsidP="00B57548">
      <w:pPr>
        <w:jc w:val="both"/>
        <w:rPr>
          <w:rFonts w:ascii="Arial" w:hAnsi="Arial" w:cs="Arial"/>
          <w:b/>
          <w:sz w:val="24"/>
          <w:szCs w:val="24"/>
        </w:rPr>
      </w:pPr>
      <w:r w:rsidRPr="00B57548">
        <w:rPr>
          <w:rFonts w:ascii="Arial" w:hAnsi="Arial" w:cs="Arial"/>
          <w:b/>
          <w:sz w:val="24"/>
          <w:szCs w:val="24"/>
        </w:rPr>
        <w:t>Presentación</w:t>
      </w:r>
    </w:p>
    <w:p w:rsidR="008B2799" w:rsidRPr="00B57548" w:rsidRDefault="009C2B6C" w:rsidP="00B57548">
      <w:pPr>
        <w:widowControl w:val="0"/>
        <w:autoSpaceDE w:val="0"/>
        <w:autoSpaceDN w:val="0"/>
        <w:adjustRightInd w:val="0"/>
        <w:jc w:val="both"/>
        <w:rPr>
          <w:rFonts w:ascii="Arial" w:hAnsi="Arial" w:cs="Arial"/>
          <w:sz w:val="24"/>
          <w:szCs w:val="24"/>
        </w:rPr>
      </w:pPr>
      <w:r w:rsidRPr="00B57548">
        <w:rPr>
          <w:rFonts w:ascii="Arial" w:hAnsi="Arial" w:cs="Arial"/>
          <w:sz w:val="24"/>
          <w:szCs w:val="24"/>
        </w:rPr>
        <w:t xml:space="preserve">El </w:t>
      </w:r>
      <w:r w:rsidR="008269E8" w:rsidRPr="00B57548">
        <w:rPr>
          <w:rFonts w:ascii="Arial" w:hAnsi="Arial" w:cs="Arial"/>
          <w:sz w:val="24"/>
          <w:szCs w:val="24"/>
        </w:rPr>
        <w:t>Fondo de Seguridad y Convivencia Ciudadana del D.E.I.P. de Barranquilla</w:t>
      </w:r>
      <w:r w:rsidR="008269E8" w:rsidRPr="00B57548">
        <w:rPr>
          <w:rFonts w:ascii="Arial" w:hAnsi="Arial" w:cs="Arial"/>
          <w:b/>
          <w:sz w:val="24"/>
          <w:szCs w:val="24"/>
        </w:rPr>
        <w:t xml:space="preserve"> </w:t>
      </w:r>
      <w:r w:rsidRPr="00B57548">
        <w:rPr>
          <w:rFonts w:ascii="Arial" w:hAnsi="Arial" w:cs="Arial"/>
          <w:sz w:val="24"/>
          <w:szCs w:val="24"/>
        </w:rPr>
        <w:t>por su naturaleza</w:t>
      </w:r>
      <w:r w:rsidRPr="00B57548">
        <w:rPr>
          <w:rFonts w:ascii="Arial" w:hAnsi="Arial" w:cs="Arial"/>
          <w:b/>
          <w:sz w:val="24"/>
          <w:szCs w:val="24"/>
        </w:rPr>
        <w:t xml:space="preserve"> </w:t>
      </w:r>
      <w:r w:rsidR="00AA47C6" w:rsidRPr="00B57548">
        <w:rPr>
          <w:rFonts w:ascii="Arial" w:hAnsi="Arial" w:cs="Arial"/>
          <w:sz w:val="24"/>
          <w:szCs w:val="24"/>
        </w:rPr>
        <w:t>j</w:t>
      </w:r>
      <w:r w:rsidRPr="00B57548">
        <w:rPr>
          <w:rFonts w:ascii="Arial" w:hAnsi="Arial" w:cs="Arial"/>
          <w:sz w:val="24"/>
          <w:szCs w:val="24"/>
        </w:rPr>
        <w:t xml:space="preserve">urídica y </w:t>
      </w:r>
      <w:r w:rsidR="004D187B" w:rsidRPr="00B57548">
        <w:rPr>
          <w:rFonts w:ascii="Arial" w:hAnsi="Arial" w:cs="Arial"/>
          <w:sz w:val="24"/>
          <w:szCs w:val="24"/>
        </w:rPr>
        <w:t xml:space="preserve">de </w:t>
      </w:r>
      <w:r w:rsidRPr="00B57548">
        <w:rPr>
          <w:rFonts w:ascii="Arial" w:hAnsi="Arial" w:cs="Arial"/>
          <w:sz w:val="24"/>
          <w:szCs w:val="24"/>
        </w:rPr>
        <w:t>administración</w:t>
      </w:r>
      <w:r w:rsidRPr="00B57548">
        <w:rPr>
          <w:rStyle w:val="Refdenotaalpie"/>
          <w:rFonts w:ascii="Arial" w:hAnsi="Arial" w:cs="Arial"/>
          <w:sz w:val="24"/>
          <w:szCs w:val="24"/>
        </w:rPr>
        <w:footnoteReference w:id="1"/>
      </w:r>
      <w:r w:rsidR="008968F1" w:rsidRPr="00B57548">
        <w:rPr>
          <w:rFonts w:ascii="Arial" w:hAnsi="Arial" w:cs="Arial"/>
          <w:sz w:val="24"/>
          <w:szCs w:val="24"/>
        </w:rPr>
        <w:t xml:space="preserve">, se constituye como un </w:t>
      </w:r>
      <w:r w:rsidR="008968F1" w:rsidRPr="00B57548">
        <w:rPr>
          <w:rFonts w:ascii="Arial" w:hAnsi="Arial" w:cs="Arial"/>
          <w:i/>
          <w:sz w:val="24"/>
          <w:szCs w:val="24"/>
        </w:rPr>
        <w:t>fondo cuenta</w:t>
      </w:r>
      <w:r w:rsidR="008968F1" w:rsidRPr="00B57548">
        <w:rPr>
          <w:rFonts w:ascii="Arial" w:hAnsi="Arial" w:cs="Arial"/>
          <w:sz w:val="24"/>
          <w:szCs w:val="24"/>
        </w:rPr>
        <w:t xml:space="preserve">, es decir, como un sistema separado de administración de recursos, sin personería jurídica, administrado por el Alcalde Distrital </w:t>
      </w:r>
      <w:r w:rsidR="008B2799" w:rsidRPr="00B57548">
        <w:rPr>
          <w:rFonts w:ascii="Arial" w:hAnsi="Arial" w:cs="Arial"/>
          <w:sz w:val="24"/>
          <w:szCs w:val="24"/>
        </w:rPr>
        <w:t>para orientar la inversión en convivencia y seguridad ciudadana</w:t>
      </w:r>
      <w:r w:rsidR="00984BCF" w:rsidRPr="00B57548">
        <w:rPr>
          <w:rStyle w:val="Refdenotaalpie"/>
          <w:rFonts w:ascii="Arial" w:hAnsi="Arial" w:cs="Arial"/>
          <w:sz w:val="24"/>
          <w:szCs w:val="24"/>
        </w:rPr>
        <w:footnoteReference w:id="2"/>
      </w:r>
      <w:r w:rsidR="008B2799" w:rsidRPr="00B57548">
        <w:rPr>
          <w:rFonts w:ascii="Arial" w:hAnsi="Arial" w:cs="Arial"/>
          <w:sz w:val="24"/>
          <w:szCs w:val="24"/>
        </w:rPr>
        <w:t>.</w:t>
      </w:r>
    </w:p>
    <w:p w:rsidR="009A39F6" w:rsidRPr="00B57548" w:rsidRDefault="009C2B6C" w:rsidP="00B57548">
      <w:pPr>
        <w:spacing w:after="0" w:line="240" w:lineRule="auto"/>
        <w:jc w:val="both"/>
        <w:rPr>
          <w:rFonts w:ascii="Arial" w:eastAsia="Times New Roman" w:hAnsi="Arial" w:cs="Arial"/>
          <w:sz w:val="24"/>
          <w:szCs w:val="24"/>
          <w:lang w:val="es-ES_tradnl" w:eastAsia="es-ES"/>
        </w:rPr>
      </w:pPr>
      <w:r w:rsidRPr="00B57548">
        <w:rPr>
          <w:rFonts w:ascii="Arial" w:hAnsi="Arial" w:cs="Arial"/>
          <w:sz w:val="24"/>
          <w:szCs w:val="24"/>
        </w:rPr>
        <w:t>El Fondo de Seguridad</w:t>
      </w:r>
      <w:r w:rsidR="009A39F6" w:rsidRPr="00B57548">
        <w:rPr>
          <w:rFonts w:ascii="Arial" w:hAnsi="Arial" w:cs="Arial"/>
          <w:sz w:val="24"/>
          <w:szCs w:val="24"/>
        </w:rPr>
        <w:t xml:space="preserve"> Ciudadana y Convivencia </w:t>
      </w:r>
      <w:r w:rsidRPr="00B57548">
        <w:rPr>
          <w:rFonts w:ascii="Arial" w:hAnsi="Arial" w:cs="Arial"/>
          <w:sz w:val="24"/>
          <w:szCs w:val="24"/>
        </w:rPr>
        <w:t xml:space="preserve">de Barranquilla </w:t>
      </w:r>
      <w:r w:rsidR="009A39F6" w:rsidRPr="00B57548">
        <w:rPr>
          <w:rFonts w:ascii="Arial" w:hAnsi="Arial" w:cs="Arial"/>
          <w:sz w:val="24"/>
          <w:szCs w:val="24"/>
        </w:rPr>
        <w:t xml:space="preserve">(FSCC) </w:t>
      </w:r>
      <w:r w:rsidRPr="00B57548">
        <w:rPr>
          <w:rFonts w:ascii="Arial" w:hAnsi="Arial" w:cs="Arial"/>
          <w:sz w:val="24"/>
          <w:szCs w:val="24"/>
        </w:rPr>
        <w:t xml:space="preserve">es un caso especial dada la decisión política de la administración de la Alcaldesa Elsa Noguera de concentrar y soportar la gestión e inversión de la Política </w:t>
      </w:r>
      <w:r w:rsidR="009A39F6" w:rsidRPr="00B57548">
        <w:rPr>
          <w:rFonts w:ascii="Arial" w:hAnsi="Arial" w:cs="Arial"/>
          <w:sz w:val="24"/>
          <w:szCs w:val="24"/>
        </w:rPr>
        <w:t xml:space="preserve">Integral </w:t>
      </w:r>
      <w:r w:rsidRPr="00B57548">
        <w:rPr>
          <w:rFonts w:ascii="Arial" w:hAnsi="Arial" w:cs="Arial"/>
          <w:sz w:val="24"/>
          <w:szCs w:val="24"/>
        </w:rPr>
        <w:t xml:space="preserve">de Seguridad </w:t>
      </w:r>
      <w:r w:rsidR="009A39F6" w:rsidRPr="00B57548">
        <w:rPr>
          <w:rFonts w:ascii="Arial" w:hAnsi="Arial" w:cs="Arial"/>
          <w:sz w:val="24"/>
          <w:szCs w:val="24"/>
        </w:rPr>
        <w:t xml:space="preserve">Ciudadana </w:t>
      </w:r>
      <w:r w:rsidRPr="00B57548">
        <w:rPr>
          <w:rFonts w:ascii="Arial" w:hAnsi="Arial" w:cs="Arial"/>
          <w:sz w:val="24"/>
          <w:szCs w:val="24"/>
        </w:rPr>
        <w:t>y Convivencia – PISC</w:t>
      </w:r>
      <w:r w:rsidR="00FA5905" w:rsidRPr="00B57548">
        <w:rPr>
          <w:rFonts w:ascii="Arial" w:hAnsi="Arial" w:cs="Arial"/>
          <w:sz w:val="24"/>
          <w:szCs w:val="24"/>
        </w:rPr>
        <w:t>C</w:t>
      </w:r>
      <w:r w:rsidRPr="00B57548">
        <w:rPr>
          <w:rFonts w:ascii="Arial" w:hAnsi="Arial" w:cs="Arial"/>
          <w:sz w:val="24"/>
          <w:szCs w:val="24"/>
        </w:rPr>
        <w:t>-</w:t>
      </w:r>
      <w:r w:rsidR="00D14DFA" w:rsidRPr="00B57548">
        <w:rPr>
          <w:rFonts w:ascii="Arial" w:hAnsi="Arial" w:cs="Arial"/>
          <w:sz w:val="24"/>
          <w:szCs w:val="24"/>
        </w:rPr>
        <w:t xml:space="preserve"> (</w:t>
      </w:r>
      <w:r w:rsidRPr="00B57548">
        <w:rPr>
          <w:rFonts w:ascii="Arial" w:hAnsi="Arial" w:cs="Arial"/>
          <w:sz w:val="24"/>
          <w:szCs w:val="24"/>
        </w:rPr>
        <w:t>2012-2020</w:t>
      </w:r>
      <w:r w:rsidR="00D14DFA" w:rsidRPr="00B57548">
        <w:rPr>
          <w:rFonts w:ascii="Arial" w:hAnsi="Arial" w:cs="Arial"/>
          <w:sz w:val="24"/>
          <w:szCs w:val="24"/>
        </w:rPr>
        <w:t>)</w:t>
      </w:r>
      <w:r w:rsidRPr="00B57548">
        <w:rPr>
          <w:rFonts w:ascii="Arial" w:hAnsi="Arial" w:cs="Arial"/>
          <w:sz w:val="24"/>
          <w:szCs w:val="24"/>
        </w:rPr>
        <w:t xml:space="preserve">, </w:t>
      </w:r>
      <w:r w:rsidR="00D14DFA" w:rsidRPr="00B57548">
        <w:rPr>
          <w:rFonts w:ascii="Arial" w:hAnsi="Arial" w:cs="Arial"/>
          <w:sz w:val="24"/>
          <w:szCs w:val="24"/>
        </w:rPr>
        <w:t xml:space="preserve"> y su Plan de E</w:t>
      </w:r>
      <w:r w:rsidRPr="00B57548">
        <w:rPr>
          <w:rFonts w:ascii="Arial" w:hAnsi="Arial" w:cs="Arial"/>
          <w:sz w:val="24"/>
          <w:szCs w:val="24"/>
        </w:rPr>
        <w:t>quipamientos</w:t>
      </w:r>
      <w:r w:rsidR="00D14DFA" w:rsidRPr="00B57548">
        <w:rPr>
          <w:rFonts w:ascii="Arial" w:hAnsi="Arial" w:cs="Arial"/>
          <w:sz w:val="24"/>
          <w:szCs w:val="24"/>
        </w:rPr>
        <w:t xml:space="preserve"> 2012- 2020</w:t>
      </w:r>
      <w:r w:rsidR="008B2799" w:rsidRPr="00B57548">
        <w:rPr>
          <w:rFonts w:ascii="Arial" w:hAnsi="Arial" w:cs="Arial"/>
          <w:sz w:val="24"/>
          <w:szCs w:val="24"/>
        </w:rPr>
        <w:t xml:space="preserve">, </w:t>
      </w:r>
      <w:r w:rsidR="00C21BC2" w:rsidRPr="00B57548">
        <w:rPr>
          <w:rFonts w:ascii="Arial" w:hAnsi="Arial" w:cs="Arial"/>
          <w:sz w:val="24"/>
          <w:szCs w:val="24"/>
        </w:rPr>
        <w:t xml:space="preserve">en el FSCC </w:t>
      </w:r>
      <w:r w:rsidR="008B2799" w:rsidRPr="00B57548">
        <w:rPr>
          <w:rFonts w:ascii="Arial" w:hAnsi="Arial" w:cs="Arial"/>
          <w:sz w:val="24"/>
          <w:szCs w:val="24"/>
        </w:rPr>
        <w:t>como dependencia directa del despacho que garantizó la orientación estratégica y su ejecución durante el  período 2012-2015.</w:t>
      </w:r>
      <w:r w:rsidR="00984BCF" w:rsidRPr="00B57548">
        <w:rPr>
          <w:rFonts w:ascii="Arial" w:eastAsia="Times New Roman" w:hAnsi="Arial" w:cs="Arial"/>
          <w:sz w:val="24"/>
          <w:szCs w:val="24"/>
          <w:lang w:val="es-ES_tradnl" w:eastAsia="es-ES"/>
        </w:rPr>
        <w:t xml:space="preserve"> </w:t>
      </w:r>
    </w:p>
    <w:p w:rsidR="00984BCF" w:rsidRPr="00B57548" w:rsidRDefault="00984BCF" w:rsidP="00B57548">
      <w:pPr>
        <w:spacing w:after="0" w:line="240" w:lineRule="auto"/>
        <w:jc w:val="both"/>
        <w:rPr>
          <w:rFonts w:ascii="Arial" w:eastAsia="Times New Roman" w:hAnsi="Arial" w:cs="Arial"/>
          <w:sz w:val="24"/>
          <w:szCs w:val="24"/>
          <w:lang w:val="es-ES_tradnl" w:eastAsia="es-ES"/>
        </w:rPr>
      </w:pPr>
      <w:r w:rsidRPr="00B57548">
        <w:rPr>
          <w:rFonts w:ascii="Arial" w:eastAsia="Times New Roman" w:hAnsi="Arial" w:cs="Arial"/>
          <w:sz w:val="24"/>
          <w:szCs w:val="24"/>
          <w:lang w:val="es-ES_tradnl" w:eastAsia="es-ES"/>
        </w:rPr>
        <w:t>El Fondo, financia proyectos orientados a la preservación y conservación del orden público, para propiciar la seguridad ciudadana y apoya a los organismos de seguridad</w:t>
      </w:r>
      <w:r w:rsidR="004D187B" w:rsidRPr="00B57548">
        <w:rPr>
          <w:rFonts w:ascii="Arial" w:eastAsia="Times New Roman" w:hAnsi="Arial" w:cs="Arial"/>
          <w:sz w:val="24"/>
          <w:szCs w:val="24"/>
          <w:lang w:val="es-ES_tradnl" w:eastAsia="es-ES"/>
        </w:rPr>
        <w:t xml:space="preserve"> y justicia</w:t>
      </w:r>
      <w:r w:rsidRPr="00B57548">
        <w:rPr>
          <w:rFonts w:ascii="Arial" w:eastAsia="Times New Roman" w:hAnsi="Arial" w:cs="Arial"/>
          <w:sz w:val="24"/>
          <w:szCs w:val="24"/>
          <w:lang w:val="es-ES_tradnl" w:eastAsia="es-ES"/>
        </w:rPr>
        <w:t xml:space="preserve"> y en general toda aquella inversión social que permita garantizar la convivencia y la reconciliación entre los ciudadanos del Distrito Barranquilla.</w:t>
      </w:r>
    </w:p>
    <w:p w:rsidR="009A39F6" w:rsidRPr="00B57548" w:rsidRDefault="009A39F6" w:rsidP="00B57548">
      <w:pPr>
        <w:shd w:val="clear" w:color="auto" w:fill="FFFFFF"/>
        <w:spacing w:after="0" w:line="240" w:lineRule="auto"/>
        <w:jc w:val="both"/>
        <w:rPr>
          <w:rFonts w:ascii="Arial" w:hAnsi="Arial" w:cs="Arial"/>
          <w:sz w:val="24"/>
          <w:szCs w:val="24"/>
        </w:rPr>
      </w:pPr>
    </w:p>
    <w:p w:rsidR="008968F1" w:rsidRPr="00B57548" w:rsidRDefault="00E830E3" w:rsidP="00B57548">
      <w:pPr>
        <w:shd w:val="clear" w:color="auto" w:fill="FFFFFF"/>
        <w:spacing w:after="0" w:line="240" w:lineRule="auto"/>
        <w:jc w:val="both"/>
        <w:rPr>
          <w:rFonts w:ascii="Arial" w:hAnsi="Arial" w:cs="Arial"/>
          <w:sz w:val="24"/>
          <w:szCs w:val="24"/>
        </w:rPr>
      </w:pPr>
      <w:r w:rsidRPr="00B57548">
        <w:rPr>
          <w:rFonts w:ascii="Arial" w:hAnsi="Arial" w:cs="Arial"/>
          <w:sz w:val="24"/>
          <w:szCs w:val="24"/>
        </w:rPr>
        <w:t>Con</w:t>
      </w:r>
      <w:r w:rsidR="000A2894" w:rsidRPr="00B57548">
        <w:rPr>
          <w:rFonts w:ascii="Arial" w:hAnsi="Arial" w:cs="Arial"/>
          <w:sz w:val="24"/>
          <w:szCs w:val="24"/>
        </w:rPr>
        <w:t xml:space="preserve"> el fin de lograr una aplicación eficiente de los recursos públicos, se propuso incorporar en el Fondo de Seguridad la capacidad técnica para la implementación de la PISC</w:t>
      </w:r>
      <w:r w:rsidR="00552113" w:rsidRPr="00B57548">
        <w:rPr>
          <w:rFonts w:ascii="Arial" w:hAnsi="Arial" w:cs="Arial"/>
          <w:sz w:val="24"/>
          <w:szCs w:val="24"/>
        </w:rPr>
        <w:t>C</w:t>
      </w:r>
      <w:r w:rsidR="000A2894" w:rsidRPr="00B57548">
        <w:rPr>
          <w:rFonts w:ascii="Arial" w:hAnsi="Arial" w:cs="Arial"/>
          <w:sz w:val="24"/>
          <w:szCs w:val="24"/>
        </w:rPr>
        <w:t xml:space="preserve"> y sus programas; </w:t>
      </w:r>
      <w:r w:rsidR="00552113" w:rsidRPr="00B57548">
        <w:rPr>
          <w:rFonts w:ascii="Arial" w:hAnsi="Arial" w:cs="Arial"/>
          <w:sz w:val="24"/>
          <w:szCs w:val="24"/>
        </w:rPr>
        <w:t xml:space="preserve">para </w:t>
      </w:r>
      <w:r w:rsidR="000A2894" w:rsidRPr="00B57548">
        <w:rPr>
          <w:rFonts w:ascii="Arial" w:hAnsi="Arial" w:cs="Arial"/>
          <w:sz w:val="24"/>
          <w:szCs w:val="24"/>
        </w:rPr>
        <w:t xml:space="preserve">contribuir a las decisiones de manera informada y favorecer la rendición de cuentas implícitas en lo correspondiente a la gestión e inversión en seguridad ciudadana. </w:t>
      </w:r>
      <w:r w:rsidR="00552113" w:rsidRPr="00B57548">
        <w:rPr>
          <w:rFonts w:ascii="Arial" w:hAnsi="Arial" w:cs="Arial"/>
          <w:sz w:val="24"/>
          <w:szCs w:val="24"/>
        </w:rPr>
        <w:t>Se consolido</w:t>
      </w:r>
      <w:r w:rsidR="008968F1" w:rsidRPr="00B57548">
        <w:rPr>
          <w:rFonts w:ascii="Arial" w:hAnsi="Arial" w:cs="Arial"/>
          <w:sz w:val="24"/>
          <w:szCs w:val="24"/>
        </w:rPr>
        <w:t xml:space="preserve"> un equipo interdisciplinario </w:t>
      </w:r>
      <w:r w:rsidR="00552113" w:rsidRPr="00B57548">
        <w:rPr>
          <w:rFonts w:ascii="Arial" w:hAnsi="Arial" w:cs="Arial"/>
          <w:sz w:val="24"/>
          <w:szCs w:val="24"/>
        </w:rPr>
        <w:t xml:space="preserve">que da  direccionamiento de los programas de prevención social y situacional; </w:t>
      </w:r>
      <w:r w:rsidR="008968F1" w:rsidRPr="00B57548">
        <w:rPr>
          <w:rFonts w:ascii="Arial" w:hAnsi="Arial" w:cs="Arial"/>
          <w:sz w:val="24"/>
          <w:szCs w:val="24"/>
        </w:rPr>
        <w:t xml:space="preserve">que gestiona, monitorea y evalúa los resultados de las acciones del PISCC, a través del sistema unificado de información – SUI-. Se cuenta igualmente con un equipo administrativo que </w:t>
      </w:r>
      <w:r w:rsidR="009C2B6C" w:rsidRPr="00B57548">
        <w:rPr>
          <w:rFonts w:ascii="Arial" w:hAnsi="Arial" w:cs="Arial"/>
          <w:sz w:val="24"/>
          <w:szCs w:val="24"/>
        </w:rPr>
        <w:t>ejecuta</w:t>
      </w:r>
      <w:r w:rsidR="008968F1" w:rsidRPr="00B57548">
        <w:rPr>
          <w:rFonts w:ascii="Arial" w:hAnsi="Arial" w:cs="Arial"/>
          <w:sz w:val="24"/>
          <w:szCs w:val="24"/>
        </w:rPr>
        <w:t xml:space="preserve"> y ha</w:t>
      </w:r>
      <w:r w:rsidR="009C2B6C" w:rsidRPr="00B57548">
        <w:rPr>
          <w:rFonts w:ascii="Arial" w:hAnsi="Arial" w:cs="Arial"/>
          <w:sz w:val="24"/>
          <w:szCs w:val="24"/>
        </w:rPr>
        <w:t>ce</w:t>
      </w:r>
      <w:r w:rsidR="008968F1" w:rsidRPr="00B57548">
        <w:rPr>
          <w:rFonts w:ascii="Arial" w:hAnsi="Arial" w:cs="Arial"/>
          <w:sz w:val="24"/>
          <w:szCs w:val="24"/>
        </w:rPr>
        <w:t xml:space="preserve"> seguimiento a los procesos de adquisición de bienes y servicios para la seguridad de acuerdo con </w:t>
      </w:r>
      <w:r w:rsidR="00552113" w:rsidRPr="00B57548">
        <w:rPr>
          <w:rFonts w:ascii="Arial" w:hAnsi="Arial" w:cs="Arial"/>
          <w:sz w:val="24"/>
          <w:szCs w:val="24"/>
        </w:rPr>
        <w:t>los instrumentos de planeación establecidos</w:t>
      </w:r>
      <w:r w:rsidR="008968F1" w:rsidRPr="00B57548">
        <w:rPr>
          <w:rFonts w:ascii="Arial" w:hAnsi="Arial" w:cs="Arial"/>
          <w:sz w:val="24"/>
          <w:szCs w:val="24"/>
        </w:rPr>
        <w:t>. Estos equipos conformados por profesionales y técnicos en diversas áreas, son los encargados de llevar la oferta institucional en seguridad y convivencia, hacia las diferentes comunidades</w:t>
      </w:r>
      <w:r w:rsidR="00552113" w:rsidRPr="00B57548">
        <w:rPr>
          <w:rFonts w:ascii="Arial" w:hAnsi="Arial" w:cs="Arial"/>
          <w:sz w:val="24"/>
          <w:szCs w:val="24"/>
        </w:rPr>
        <w:t xml:space="preserve"> e instituciones.</w:t>
      </w:r>
      <w:r w:rsidR="008968F1" w:rsidRPr="00B57548">
        <w:rPr>
          <w:rFonts w:ascii="Arial" w:hAnsi="Arial" w:cs="Arial"/>
          <w:sz w:val="24"/>
          <w:szCs w:val="24"/>
        </w:rPr>
        <w:t xml:space="preserve">  </w:t>
      </w:r>
    </w:p>
    <w:p w:rsidR="008968F1" w:rsidRPr="00B57548" w:rsidRDefault="008968F1" w:rsidP="00B57548">
      <w:pPr>
        <w:shd w:val="clear" w:color="auto" w:fill="FFFFFF"/>
        <w:spacing w:after="0" w:line="240" w:lineRule="auto"/>
        <w:jc w:val="both"/>
        <w:rPr>
          <w:rFonts w:ascii="Arial" w:hAnsi="Arial" w:cs="Arial"/>
          <w:sz w:val="24"/>
          <w:szCs w:val="24"/>
        </w:rPr>
      </w:pPr>
    </w:p>
    <w:p w:rsidR="00E830E3" w:rsidRPr="00B57548" w:rsidRDefault="00E830E3" w:rsidP="00B57548">
      <w:pPr>
        <w:pStyle w:val="NormalWeb"/>
        <w:spacing w:before="0" w:beforeAutospacing="0" w:after="0" w:afterAutospacing="0"/>
        <w:jc w:val="both"/>
        <w:rPr>
          <w:rFonts w:ascii="Arial" w:hAnsi="Arial" w:cs="Arial"/>
          <w:b/>
          <w:color w:val="000000" w:themeColor="text1"/>
          <w:kern w:val="24"/>
          <w:lang w:val="es-ES"/>
        </w:rPr>
      </w:pPr>
      <w:r w:rsidRPr="00B57548">
        <w:rPr>
          <w:rFonts w:ascii="Arial" w:hAnsi="Arial" w:cs="Arial"/>
          <w:b/>
          <w:color w:val="000000" w:themeColor="text1"/>
          <w:kern w:val="24"/>
          <w:lang w:val="es-ES"/>
        </w:rPr>
        <w:lastRenderedPageBreak/>
        <w:t>Se destaca la implementación adecuada y refinamiento constante de los instrumentos de focalización de la inversión del Fondo en corresponsabilidad con las diferentes instancias de la Alcaldía fomentando la cooperación y coordinación intergubernamental, con planeación anual, definición clara de atribuciones, transparencia, que sin duda se constituye en una buena práctica de gobierno sobre los instrumentos de la política pública que enriquecieron el conocimiento colectivo para actuar sobre la problemática de seguridad y violencia urbana.</w:t>
      </w:r>
    </w:p>
    <w:p w:rsidR="00E830E3" w:rsidRPr="00B57548" w:rsidRDefault="00E830E3" w:rsidP="00B57548">
      <w:pPr>
        <w:pStyle w:val="NormalWeb"/>
        <w:spacing w:before="0" w:beforeAutospacing="0" w:after="0" w:afterAutospacing="0"/>
        <w:jc w:val="both"/>
        <w:rPr>
          <w:rFonts w:ascii="Arial" w:hAnsi="Arial" w:cs="Arial"/>
          <w:color w:val="000000" w:themeColor="text1"/>
          <w:kern w:val="24"/>
          <w:lang w:val="es-ES"/>
        </w:rPr>
      </w:pPr>
    </w:p>
    <w:p w:rsidR="004D187B" w:rsidRPr="00B57548" w:rsidRDefault="00E830E3" w:rsidP="00B57548">
      <w:pPr>
        <w:pStyle w:val="NormalWeb"/>
        <w:spacing w:before="0" w:beforeAutospacing="0" w:after="0" w:afterAutospacing="0"/>
        <w:jc w:val="both"/>
        <w:rPr>
          <w:rFonts w:ascii="Arial" w:hAnsi="Arial" w:cs="Arial"/>
          <w:color w:val="000000" w:themeColor="text1"/>
          <w:kern w:val="24"/>
          <w:lang w:val="es-ES"/>
        </w:rPr>
      </w:pPr>
      <w:r w:rsidRPr="00B57548">
        <w:rPr>
          <w:rFonts w:ascii="Arial" w:hAnsi="Arial" w:cs="Arial"/>
          <w:color w:val="000000" w:themeColor="text1"/>
          <w:kern w:val="24"/>
          <w:lang w:val="es-ES"/>
        </w:rPr>
        <w:t>A continuación se presenta</w:t>
      </w:r>
      <w:r w:rsidR="00364CAB" w:rsidRPr="00B57548">
        <w:rPr>
          <w:rFonts w:ascii="Arial" w:hAnsi="Arial" w:cs="Arial"/>
          <w:color w:val="000000" w:themeColor="text1"/>
          <w:kern w:val="24"/>
          <w:lang w:val="es-ES"/>
        </w:rPr>
        <w:t xml:space="preserve">n un resumen de </w:t>
      </w:r>
      <w:r w:rsidRPr="00B57548">
        <w:rPr>
          <w:rFonts w:ascii="Arial" w:hAnsi="Arial" w:cs="Arial"/>
          <w:color w:val="000000" w:themeColor="text1"/>
          <w:kern w:val="24"/>
          <w:lang w:val="es-ES"/>
        </w:rPr>
        <w:t xml:space="preserve">la gestión de los instrumentos de política pública </w:t>
      </w:r>
      <w:r w:rsidR="007B70F3" w:rsidRPr="00B57548">
        <w:rPr>
          <w:rFonts w:ascii="Arial" w:hAnsi="Arial" w:cs="Arial"/>
          <w:color w:val="000000" w:themeColor="text1"/>
          <w:kern w:val="24"/>
          <w:lang w:val="es-ES"/>
        </w:rPr>
        <w:t xml:space="preserve">y la inversión </w:t>
      </w:r>
      <w:r w:rsidR="009A39F6" w:rsidRPr="00B57548">
        <w:rPr>
          <w:rFonts w:ascii="Arial" w:hAnsi="Arial" w:cs="Arial"/>
          <w:color w:val="000000" w:themeColor="text1"/>
          <w:kern w:val="24"/>
          <w:lang w:val="es-ES"/>
        </w:rPr>
        <w:t>que le correspondió al F</w:t>
      </w:r>
      <w:r w:rsidRPr="00B57548">
        <w:rPr>
          <w:rFonts w:ascii="Arial" w:hAnsi="Arial" w:cs="Arial"/>
          <w:color w:val="000000" w:themeColor="text1"/>
          <w:kern w:val="24"/>
          <w:lang w:val="es-ES"/>
        </w:rPr>
        <w:t xml:space="preserve">ondo de </w:t>
      </w:r>
      <w:r w:rsidR="009A39F6" w:rsidRPr="00B57548">
        <w:rPr>
          <w:rFonts w:ascii="Arial" w:hAnsi="Arial" w:cs="Arial"/>
          <w:color w:val="000000" w:themeColor="text1"/>
          <w:kern w:val="24"/>
          <w:lang w:val="es-ES"/>
        </w:rPr>
        <w:t>S</w:t>
      </w:r>
      <w:r w:rsidRPr="00B57548">
        <w:rPr>
          <w:rFonts w:ascii="Arial" w:hAnsi="Arial" w:cs="Arial"/>
          <w:color w:val="000000" w:themeColor="text1"/>
          <w:kern w:val="24"/>
          <w:lang w:val="es-ES"/>
        </w:rPr>
        <w:t xml:space="preserve">eguridad </w:t>
      </w:r>
      <w:r w:rsidR="007B70F3" w:rsidRPr="00B57548">
        <w:rPr>
          <w:rFonts w:ascii="Arial" w:hAnsi="Arial" w:cs="Arial"/>
          <w:color w:val="000000" w:themeColor="text1"/>
          <w:kern w:val="24"/>
          <w:lang w:val="es-ES"/>
        </w:rPr>
        <w:t>gerenciar</w:t>
      </w:r>
      <w:r w:rsidR="00364CAB" w:rsidRPr="00B57548">
        <w:rPr>
          <w:rFonts w:ascii="Arial" w:hAnsi="Arial" w:cs="Arial"/>
          <w:color w:val="000000" w:themeColor="text1"/>
          <w:kern w:val="24"/>
          <w:lang w:val="es-ES"/>
        </w:rPr>
        <w:t xml:space="preserve"> en</w:t>
      </w:r>
      <w:r w:rsidR="0025447E" w:rsidRPr="00B57548">
        <w:rPr>
          <w:rFonts w:ascii="Arial" w:hAnsi="Arial" w:cs="Arial"/>
          <w:color w:val="000000" w:themeColor="text1"/>
          <w:kern w:val="24"/>
          <w:lang w:val="es-ES"/>
        </w:rPr>
        <w:t xml:space="preserve"> desarrollo de infraestructura y equipamiento para la seguridad</w:t>
      </w:r>
      <w:r w:rsidR="00364CAB" w:rsidRPr="00B57548">
        <w:rPr>
          <w:rFonts w:ascii="Arial" w:hAnsi="Arial" w:cs="Arial"/>
          <w:color w:val="000000" w:themeColor="text1"/>
          <w:kern w:val="24"/>
          <w:lang w:val="es-ES"/>
        </w:rPr>
        <w:t xml:space="preserve">; en recuperación e intervención de entornos urbanos, renovación  urbana y equipamiento de la ciudad.  </w:t>
      </w:r>
      <w:r w:rsidR="0068318B" w:rsidRPr="00B57548">
        <w:rPr>
          <w:rFonts w:ascii="Arial" w:hAnsi="Arial" w:cs="Arial"/>
          <w:color w:val="000000" w:themeColor="text1"/>
          <w:kern w:val="24"/>
          <w:lang w:val="es-ES"/>
        </w:rPr>
        <w:t>para el control de factores de riesgo y oportunidad del delito</w:t>
      </w:r>
      <w:r w:rsidR="004D187B" w:rsidRPr="00B57548">
        <w:rPr>
          <w:rFonts w:ascii="Arial" w:hAnsi="Arial" w:cs="Arial"/>
          <w:color w:val="000000" w:themeColor="text1"/>
          <w:kern w:val="24"/>
          <w:lang w:val="es-ES"/>
        </w:rPr>
        <w:t xml:space="preserve">; en la </w:t>
      </w:r>
      <w:r w:rsidR="00364CAB" w:rsidRPr="00B57548">
        <w:rPr>
          <w:rFonts w:ascii="Arial" w:hAnsi="Arial" w:cs="Arial"/>
          <w:color w:val="000000" w:themeColor="text1"/>
          <w:kern w:val="24"/>
          <w:lang w:val="es-ES"/>
        </w:rPr>
        <w:t xml:space="preserve">inclusión </w:t>
      </w:r>
      <w:r w:rsidR="004D187B" w:rsidRPr="00B57548">
        <w:rPr>
          <w:rFonts w:ascii="Arial" w:hAnsi="Arial" w:cs="Arial"/>
          <w:color w:val="000000" w:themeColor="text1"/>
          <w:kern w:val="24"/>
          <w:lang w:val="es-ES"/>
        </w:rPr>
        <w:t xml:space="preserve">social </w:t>
      </w:r>
      <w:r w:rsidR="00364CAB" w:rsidRPr="00B57548">
        <w:rPr>
          <w:rFonts w:ascii="Arial" w:hAnsi="Arial" w:cs="Arial"/>
          <w:color w:val="000000" w:themeColor="text1"/>
          <w:kern w:val="24"/>
          <w:lang w:val="es-ES"/>
        </w:rPr>
        <w:t xml:space="preserve">y uso del espacio público como elemento integrador que  contribuye a recuperar la convivencia y cultura ciudadana; y de </w:t>
      </w:r>
      <w:r w:rsidR="00B119FE" w:rsidRPr="00B57548">
        <w:rPr>
          <w:rFonts w:ascii="Arial" w:hAnsi="Arial" w:cs="Arial"/>
          <w:color w:val="000000" w:themeColor="text1"/>
          <w:kern w:val="24"/>
          <w:lang w:val="es-ES"/>
        </w:rPr>
        <w:t>intervención</w:t>
      </w:r>
      <w:r w:rsidR="00364CAB" w:rsidRPr="00B57548">
        <w:rPr>
          <w:rFonts w:ascii="Arial" w:hAnsi="Arial" w:cs="Arial"/>
          <w:color w:val="000000" w:themeColor="text1"/>
          <w:kern w:val="24"/>
          <w:lang w:val="es-ES"/>
        </w:rPr>
        <w:t xml:space="preserve"> social en </w:t>
      </w:r>
      <w:r w:rsidR="004D187B" w:rsidRPr="00B57548">
        <w:rPr>
          <w:rFonts w:ascii="Arial" w:hAnsi="Arial" w:cs="Arial"/>
          <w:color w:val="000000" w:themeColor="text1"/>
          <w:kern w:val="24"/>
          <w:lang w:val="es-ES"/>
        </w:rPr>
        <w:t>sectores y poblaciones vulnerables.</w:t>
      </w:r>
    </w:p>
    <w:p w:rsidR="004D187B" w:rsidRPr="00B57548" w:rsidRDefault="004D187B" w:rsidP="00B57548">
      <w:pPr>
        <w:pStyle w:val="NormalWeb"/>
        <w:spacing w:before="0" w:beforeAutospacing="0" w:after="0" w:afterAutospacing="0"/>
        <w:jc w:val="both"/>
        <w:rPr>
          <w:rFonts w:ascii="Arial" w:hAnsi="Arial" w:cs="Arial"/>
          <w:color w:val="000000" w:themeColor="text1"/>
          <w:kern w:val="24"/>
          <w:lang w:val="es-ES"/>
        </w:rPr>
      </w:pPr>
    </w:p>
    <w:p w:rsidR="004D187B" w:rsidRPr="00B57548" w:rsidRDefault="004D187B" w:rsidP="00B57548">
      <w:pPr>
        <w:pStyle w:val="NormalWeb"/>
        <w:spacing w:before="0" w:beforeAutospacing="0" w:after="0" w:afterAutospacing="0"/>
        <w:jc w:val="both"/>
        <w:rPr>
          <w:rFonts w:ascii="Arial" w:hAnsi="Arial" w:cs="Arial"/>
          <w:color w:val="000000" w:themeColor="text1"/>
          <w:kern w:val="24"/>
          <w:lang w:val="es-ES"/>
        </w:rPr>
      </w:pPr>
    </w:p>
    <w:p w:rsidR="00CA0B1C" w:rsidRPr="00B57548" w:rsidRDefault="00CA0B1C" w:rsidP="00B57548">
      <w:pPr>
        <w:pStyle w:val="NormalWeb"/>
        <w:numPr>
          <w:ilvl w:val="0"/>
          <w:numId w:val="10"/>
        </w:numPr>
        <w:spacing w:before="0" w:beforeAutospacing="0" w:after="0" w:afterAutospacing="0"/>
        <w:jc w:val="both"/>
        <w:rPr>
          <w:rFonts w:ascii="Arial" w:hAnsi="Arial" w:cs="Arial"/>
          <w:b/>
        </w:rPr>
      </w:pPr>
      <w:r w:rsidRPr="00B57548">
        <w:rPr>
          <w:rFonts w:ascii="Arial" w:hAnsi="Arial" w:cs="Arial"/>
          <w:b/>
        </w:rPr>
        <w:t>INSTRUMENTOS ORIENTADORES DE LA GESTIÓN</w:t>
      </w:r>
      <w:r w:rsidR="00D76AF7" w:rsidRPr="00B57548">
        <w:rPr>
          <w:rFonts w:ascii="Arial" w:hAnsi="Arial" w:cs="Arial"/>
          <w:b/>
        </w:rPr>
        <w:t xml:space="preserve"> E INVERSIÓN</w:t>
      </w:r>
      <w:r w:rsidRPr="00B57548">
        <w:rPr>
          <w:rFonts w:ascii="Arial" w:hAnsi="Arial" w:cs="Arial"/>
          <w:b/>
        </w:rPr>
        <w:t xml:space="preserve"> DEL FONDO DE SEGURIDAD</w:t>
      </w:r>
    </w:p>
    <w:p w:rsidR="00CA0B1C" w:rsidRPr="00B57548" w:rsidRDefault="00CA0B1C" w:rsidP="00B57548">
      <w:pPr>
        <w:spacing w:after="0"/>
        <w:ind w:left="708"/>
        <w:jc w:val="both"/>
        <w:rPr>
          <w:rFonts w:ascii="Arial" w:hAnsi="Arial" w:cs="Arial"/>
          <w:b/>
          <w:color w:val="0070C0"/>
          <w:sz w:val="24"/>
          <w:szCs w:val="24"/>
        </w:rPr>
      </w:pPr>
    </w:p>
    <w:p w:rsidR="00752A3F" w:rsidRPr="00B57548" w:rsidRDefault="00752A3F" w:rsidP="00B57548">
      <w:pPr>
        <w:spacing w:after="0"/>
        <w:jc w:val="both"/>
        <w:rPr>
          <w:rFonts w:ascii="Arial" w:hAnsi="Arial" w:cs="Arial"/>
          <w:b/>
          <w:i/>
          <w:color w:val="404040" w:themeColor="text1" w:themeTint="BF"/>
          <w:sz w:val="24"/>
          <w:szCs w:val="24"/>
        </w:rPr>
      </w:pPr>
      <w:r w:rsidRPr="00B57548">
        <w:rPr>
          <w:rFonts w:ascii="Arial" w:hAnsi="Arial" w:cs="Arial"/>
          <w:b/>
          <w:color w:val="404040" w:themeColor="text1" w:themeTint="BF"/>
          <w:sz w:val="24"/>
          <w:szCs w:val="24"/>
        </w:rPr>
        <w:t xml:space="preserve">La Política Integral de </w:t>
      </w:r>
      <w:r w:rsidR="00C27A1F" w:rsidRPr="00B57548">
        <w:rPr>
          <w:rFonts w:ascii="Arial" w:hAnsi="Arial" w:cs="Arial"/>
          <w:b/>
          <w:color w:val="404040" w:themeColor="text1" w:themeTint="BF"/>
          <w:sz w:val="24"/>
          <w:szCs w:val="24"/>
        </w:rPr>
        <w:t xml:space="preserve">Convivencia y </w:t>
      </w:r>
      <w:r w:rsidRPr="00B57548">
        <w:rPr>
          <w:rFonts w:ascii="Arial" w:hAnsi="Arial" w:cs="Arial"/>
          <w:b/>
          <w:color w:val="404040" w:themeColor="text1" w:themeTint="BF"/>
          <w:sz w:val="24"/>
          <w:szCs w:val="24"/>
        </w:rPr>
        <w:t xml:space="preserve">Seguridad Ciudadana </w:t>
      </w:r>
      <w:r w:rsidR="00C27A1F" w:rsidRPr="00B57548">
        <w:rPr>
          <w:rFonts w:ascii="Arial" w:hAnsi="Arial" w:cs="Arial"/>
          <w:b/>
          <w:color w:val="404040" w:themeColor="text1" w:themeTint="BF"/>
          <w:sz w:val="24"/>
          <w:szCs w:val="24"/>
        </w:rPr>
        <w:t>2012-2020</w:t>
      </w:r>
      <w:r w:rsidR="00D55503" w:rsidRPr="00B57548">
        <w:rPr>
          <w:rFonts w:ascii="Arial" w:hAnsi="Arial" w:cs="Arial"/>
          <w:b/>
          <w:color w:val="404040" w:themeColor="text1" w:themeTint="BF"/>
          <w:sz w:val="24"/>
          <w:szCs w:val="24"/>
        </w:rPr>
        <w:t xml:space="preserve"> y el Plan de equipamientos 2012-2020</w:t>
      </w:r>
      <w:r w:rsidR="00D55503" w:rsidRPr="00B57548">
        <w:rPr>
          <w:rFonts w:ascii="Arial" w:hAnsi="Arial" w:cs="Arial"/>
          <w:b/>
          <w:i/>
          <w:color w:val="404040" w:themeColor="text1" w:themeTint="BF"/>
          <w:sz w:val="24"/>
          <w:szCs w:val="24"/>
        </w:rPr>
        <w:t>.</w:t>
      </w:r>
    </w:p>
    <w:p w:rsidR="00C27A1F" w:rsidRPr="00B57548" w:rsidRDefault="00C27A1F" w:rsidP="00B57548">
      <w:pPr>
        <w:spacing w:after="0"/>
        <w:jc w:val="both"/>
        <w:rPr>
          <w:rFonts w:ascii="Arial" w:hAnsi="Arial" w:cs="Arial"/>
          <w:sz w:val="24"/>
          <w:szCs w:val="24"/>
        </w:rPr>
      </w:pPr>
    </w:p>
    <w:p w:rsidR="0008203B" w:rsidRPr="00B57548" w:rsidRDefault="00C27A1F" w:rsidP="00B57548">
      <w:pPr>
        <w:spacing w:after="0"/>
        <w:jc w:val="both"/>
        <w:rPr>
          <w:rFonts w:ascii="Arial" w:hAnsi="Arial" w:cs="Arial"/>
          <w:sz w:val="24"/>
          <w:szCs w:val="24"/>
        </w:rPr>
      </w:pPr>
      <w:r w:rsidRPr="00B57548">
        <w:rPr>
          <w:rFonts w:ascii="Arial" w:hAnsi="Arial" w:cs="Arial"/>
          <w:sz w:val="24"/>
          <w:szCs w:val="24"/>
        </w:rPr>
        <w:t xml:space="preserve">El Distrito </w:t>
      </w:r>
      <w:r w:rsidR="0008203B" w:rsidRPr="00B57548">
        <w:rPr>
          <w:rFonts w:ascii="Arial" w:hAnsi="Arial" w:cs="Arial"/>
          <w:sz w:val="24"/>
          <w:szCs w:val="24"/>
        </w:rPr>
        <w:t>adopt</w:t>
      </w:r>
      <w:r w:rsidR="005C2731" w:rsidRPr="00B57548">
        <w:rPr>
          <w:rFonts w:ascii="Arial" w:hAnsi="Arial" w:cs="Arial"/>
          <w:sz w:val="24"/>
          <w:szCs w:val="24"/>
        </w:rPr>
        <w:t>ó</w:t>
      </w:r>
      <w:r w:rsidRPr="00B57548">
        <w:rPr>
          <w:rFonts w:ascii="Arial" w:hAnsi="Arial" w:cs="Arial"/>
          <w:sz w:val="24"/>
          <w:szCs w:val="24"/>
        </w:rPr>
        <w:t xml:space="preserve"> la</w:t>
      </w:r>
      <w:r w:rsidR="0008203B" w:rsidRPr="00B57548">
        <w:rPr>
          <w:rFonts w:ascii="Arial" w:hAnsi="Arial" w:cs="Arial"/>
          <w:sz w:val="24"/>
          <w:szCs w:val="24"/>
        </w:rPr>
        <w:t xml:space="preserve"> Política Integral de Convivencia y Seguridad Ciudadana 2012 - 2020 </w:t>
      </w:r>
      <w:r w:rsidR="00E95234" w:rsidRPr="00B57548">
        <w:rPr>
          <w:rFonts w:ascii="Arial" w:hAnsi="Arial" w:cs="Arial"/>
          <w:sz w:val="24"/>
          <w:szCs w:val="24"/>
        </w:rPr>
        <w:t xml:space="preserve">y el Plan de Equipamientos </w:t>
      </w:r>
      <w:r w:rsidR="00D55503" w:rsidRPr="00B57548">
        <w:rPr>
          <w:rFonts w:ascii="Arial" w:hAnsi="Arial" w:cs="Arial"/>
          <w:sz w:val="24"/>
          <w:szCs w:val="24"/>
        </w:rPr>
        <w:t xml:space="preserve">como </w:t>
      </w:r>
      <w:r w:rsidR="00E95234" w:rsidRPr="00B57548">
        <w:rPr>
          <w:rFonts w:ascii="Arial" w:hAnsi="Arial" w:cs="Arial"/>
          <w:sz w:val="24"/>
          <w:szCs w:val="24"/>
        </w:rPr>
        <w:t>los</w:t>
      </w:r>
      <w:r w:rsidR="00D55503" w:rsidRPr="00B57548">
        <w:rPr>
          <w:rFonts w:ascii="Arial" w:hAnsi="Arial" w:cs="Arial"/>
          <w:sz w:val="24"/>
          <w:szCs w:val="24"/>
        </w:rPr>
        <w:t xml:space="preserve"> instrumento</w:t>
      </w:r>
      <w:r w:rsidR="00E95234" w:rsidRPr="00B57548">
        <w:rPr>
          <w:rFonts w:ascii="Arial" w:hAnsi="Arial" w:cs="Arial"/>
          <w:sz w:val="24"/>
          <w:szCs w:val="24"/>
        </w:rPr>
        <w:t>s</w:t>
      </w:r>
      <w:r w:rsidR="00D55503" w:rsidRPr="00B57548">
        <w:rPr>
          <w:rFonts w:ascii="Arial" w:hAnsi="Arial" w:cs="Arial"/>
          <w:sz w:val="24"/>
          <w:szCs w:val="24"/>
        </w:rPr>
        <w:t xml:space="preserve"> </w:t>
      </w:r>
      <w:r w:rsidR="0008203B" w:rsidRPr="00B57548">
        <w:rPr>
          <w:rFonts w:ascii="Arial" w:hAnsi="Arial" w:cs="Arial"/>
          <w:sz w:val="24"/>
          <w:szCs w:val="24"/>
        </w:rPr>
        <w:t>que</w:t>
      </w:r>
      <w:r w:rsidR="00D55503" w:rsidRPr="00B57548">
        <w:rPr>
          <w:rFonts w:ascii="Arial" w:hAnsi="Arial" w:cs="Arial"/>
          <w:sz w:val="24"/>
          <w:szCs w:val="24"/>
        </w:rPr>
        <w:t xml:space="preserve"> orienta</w:t>
      </w:r>
      <w:r w:rsidR="00E95234" w:rsidRPr="00B57548">
        <w:rPr>
          <w:rFonts w:ascii="Arial" w:hAnsi="Arial" w:cs="Arial"/>
          <w:sz w:val="24"/>
          <w:szCs w:val="24"/>
        </w:rPr>
        <w:t>n</w:t>
      </w:r>
      <w:r w:rsidR="00D55503" w:rsidRPr="00B57548">
        <w:rPr>
          <w:rFonts w:ascii="Arial" w:hAnsi="Arial" w:cs="Arial"/>
          <w:sz w:val="24"/>
          <w:szCs w:val="24"/>
        </w:rPr>
        <w:t xml:space="preserve"> la inversión</w:t>
      </w:r>
      <w:r w:rsidR="00E95234" w:rsidRPr="00B57548">
        <w:rPr>
          <w:rFonts w:ascii="Arial" w:hAnsi="Arial" w:cs="Arial"/>
          <w:sz w:val="24"/>
          <w:szCs w:val="24"/>
        </w:rPr>
        <w:t>,</w:t>
      </w:r>
      <w:r w:rsidR="0008203B" w:rsidRPr="00B57548">
        <w:rPr>
          <w:rFonts w:ascii="Arial" w:hAnsi="Arial" w:cs="Arial"/>
          <w:sz w:val="24"/>
          <w:szCs w:val="24"/>
        </w:rPr>
        <w:t xml:space="preserve"> integra programas y proyectos que van desde la disuasión y la prevención, hasta la acción legítima de control y sanción por parte del Estado de las conductas violentas.</w:t>
      </w:r>
      <w:r w:rsidRPr="00B57548">
        <w:rPr>
          <w:rFonts w:ascii="Arial" w:hAnsi="Arial" w:cs="Arial"/>
          <w:sz w:val="24"/>
          <w:szCs w:val="24"/>
        </w:rPr>
        <w:t xml:space="preserve"> </w:t>
      </w:r>
      <w:r w:rsidR="00654EE7" w:rsidRPr="00B57548">
        <w:rPr>
          <w:rFonts w:ascii="Arial" w:hAnsi="Arial" w:cs="Arial"/>
          <w:sz w:val="24"/>
          <w:szCs w:val="24"/>
        </w:rPr>
        <w:t xml:space="preserve"> </w:t>
      </w:r>
      <w:r w:rsidR="0008203B" w:rsidRPr="00B57548">
        <w:rPr>
          <w:rFonts w:ascii="Arial" w:hAnsi="Arial" w:cs="Arial"/>
          <w:sz w:val="24"/>
          <w:szCs w:val="24"/>
        </w:rPr>
        <w:t xml:space="preserve">Esta Política otorga una gran importancia a la estrategia de prevención del delito y, por tanto, entrega a las comunidades </w:t>
      </w:r>
      <w:r w:rsidR="005C2731" w:rsidRPr="00B57548">
        <w:rPr>
          <w:rFonts w:ascii="Arial" w:hAnsi="Arial" w:cs="Arial"/>
          <w:sz w:val="24"/>
          <w:szCs w:val="24"/>
        </w:rPr>
        <w:t>y</w:t>
      </w:r>
      <w:r w:rsidR="0008203B" w:rsidRPr="00B57548">
        <w:rPr>
          <w:rFonts w:ascii="Arial" w:hAnsi="Arial" w:cs="Arial"/>
          <w:sz w:val="24"/>
          <w:szCs w:val="24"/>
        </w:rPr>
        <w:t xml:space="preserve"> especialmente a los jóvenes, un papel protagónico en la interlocución con todas las autoridades de seguridad y justicia, así como en la ejecución de las acciones tendientes a fortalecer los factores protectores frente a la inseguridad incidental e instrumental.</w:t>
      </w:r>
    </w:p>
    <w:p w:rsidR="0008203B" w:rsidRPr="00B57548" w:rsidRDefault="0008203B" w:rsidP="00B57548">
      <w:pPr>
        <w:spacing w:after="0"/>
        <w:jc w:val="both"/>
        <w:rPr>
          <w:rFonts w:ascii="Arial" w:hAnsi="Arial" w:cs="Arial"/>
          <w:sz w:val="24"/>
          <w:szCs w:val="24"/>
        </w:rPr>
      </w:pPr>
    </w:p>
    <w:p w:rsidR="0008203B" w:rsidRPr="00B57548" w:rsidRDefault="00E95234" w:rsidP="00B57548">
      <w:pPr>
        <w:spacing w:after="0"/>
        <w:jc w:val="both"/>
        <w:rPr>
          <w:rFonts w:ascii="Arial" w:hAnsi="Arial" w:cs="Arial"/>
          <w:sz w:val="24"/>
          <w:szCs w:val="24"/>
        </w:rPr>
      </w:pPr>
      <w:r w:rsidRPr="00B57548">
        <w:rPr>
          <w:rFonts w:ascii="Arial" w:hAnsi="Arial" w:cs="Arial"/>
          <w:sz w:val="24"/>
          <w:szCs w:val="24"/>
        </w:rPr>
        <w:t>De esta manera, est</w:t>
      </w:r>
      <w:r w:rsidR="00B1321C" w:rsidRPr="00B57548">
        <w:rPr>
          <w:rFonts w:ascii="Arial" w:hAnsi="Arial" w:cs="Arial"/>
          <w:sz w:val="24"/>
          <w:szCs w:val="24"/>
        </w:rPr>
        <w:t>os</w:t>
      </w:r>
      <w:r w:rsidRPr="00B57548">
        <w:rPr>
          <w:rFonts w:ascii="Arial" w:hAnsi="Arial" w:cs="Arial"/>
          <w:sz w:val="24"/>
          <w:szCs w:val="24"/>
        </w:rPr>
        <w:t xml:space="preserve"> instrumento</w:t>
      </w:r>
      <w:r w:rsidR="00B1321C" w:rsidRPr="00B57548">
        <w:rPr>
          <w:rFonts w:ascii="Arial" w:hAnsi="Arial" w:cs="Arial"/>
          <w:sz w:val="24"/>
          <w:szCs w:val="24"/>
        </w:rPr>
        <w:t xml:space="preserve">s </w:t>
      </w:r>
      <w:r w:rsidR="008E1027" w:rsidRPr="00B57548">
        <w:rPr>
          <w:rFonts w:ascii="Arial" w:hAnsi="Arial" w:cs="Arial"/>
          <w:sz w:val="24"/>
          <w:szCs w:val="24"/>
        </w:rPr>
        <w:t>guiaron</w:t>
      </w:r>
      <w:r w:rsidRPr="00B57548">
        <w:rPr>
          <w:rFonts w:ascii="Arial" w:hAnsi="Arial" w:cs="Arial"/>
          <w:sz w:val="24"/>
          <w:szCs w:val="24"/>
        </w:rPr>
        <w:t xml:space="preserve"> la gestión e inversión del FSCC en un esquema de </w:t>
      </w:r>
      <w:r w:rsidR="0008203B" w:rsidRPr="00B57548">
        <w:rPr>
          <w:rFonts w:ascii="Arial" w:hAnsi="Arial" w:cs="Arial"/>
          <w:sz w:val="24"/>
          <w:szCs w:val="24"/>
        </w:rPr>
        <w:t xml:space="preserve"> trabajo articulado </w:t>
      </w:r>
      <w:r w:rsidRPr="00B57548">
        <w:rPr>
          <w:rFonts w:ascii="Arial" w:hAnsi="Arial" w:cs="Arial"/>
          <w:sz w:val="24"/>
          <w:szCs w:val="24"/>
        </w:rPr>
        <w:t>con</w:t>
      </w:r>
      <w:r w:rsidR="0008203B" w:rsidRPr="00B57548">
        <w:rPr>
          <w:rFonts w:ascii="Arial" w:hAnsi="Arial" w:cs="Arial"/>
          <w:sz w:val="24"/>
          <w:szCs w:val="24"/>
        </w:rPr>
        <w:t xml:space="preserve"> las instituciones distritales y nacionales, alrededor de actividades orientadas a la reducción de los riesgos que se presentan en el espacio público</w:t>
      </w:r>
      <w:r w:rsidRPr="00B57548">
        <w:rPr>
          <w:rFonts w:ascii="Arial" w:hAnsi="Arial" w:cs="Arial"/>
          <w:sz w:val="24"/>
          <w:szCs w:val="24"/>
        </w:rPr>
        <w:t>; intervención directa sobre</w:t>
      </w:r>
      <w:r w:rsidR="0008203B" w:rsidRPr="00B57548">
        <w:rPr>
          <w:rFonts w:ascii="Arial" w:hAnsi="Arial" w:cs="Arial"/>
          <w:sz w:val="24"/>
          <w:szCs w:val="24"/>
        </w:rPr>
        <w:t xml:space="preserve"> condiciones sociales de poblaciones específicas. </w:t>
      </w:r>
      <w:r w:rsidRPr="00B57548">
        <w:rPr>
          <w:rFonts w:ascii="Arial" w:hAnsi="Arial" w:cs="Arial"/>
          <w:sz w:val="24"/>
          <w:szCs w:val="24"/>
        </w:rPr>
        <w:t>Se invirtió en la conformación de</w:t>
      </w:r>
      <w:r w:rsidR="0008203B" w:rsidRPr="00B57548">
        <w:rPr>
          <w:rFonts w:ascii="Arial" w:hAnsi="Arial" w:cs="Arial"/>
          <w:sz w:val="24"/>
          <w:szCs w:val="24"/>
        </w:rPr>
        <w:t xml:space="preserve"> entornos seguros, </w:t>
      </w:r>
      <w:r w:rsidRPr="00B57548">
        <w:rPr>
          <w:rFonts w:ascii="Arial" w:hAnsi="Arial" w:cs="Arial"/>
          <w:sz w:val="24"/>
          <w:szCs w:val="24"/>
        </w:rPr>
        <w:t xml:space="preserve">en </w:t>
      </w:r>
      <w:r w:rsidR="0008203B" w:rsidRPr="00B57548">
        <w:rPr>
          <w:rFonts w:ascii="Arial" w:hAnsi="Arial" w:cs="Arial"/>
          <w:sz w:val="24"/>
          <w:szCs w:val="24"/>
        </w:rPr>
        <w:t xml:space="preserve">disminuir los riesgos de inicio o continuidad de carreras delictivas en los jóvenes, </w:t>
      </w:r>
      <w:r w:rsidRPr="00B57548">
        <w:rPr>
          <w:rFonts w:ascii="Arial" w:hAnsi="Arial" w:cs="Arial"/>
          <w:sz w:val="24"/>
          <w:szCs w:val="24"/>
        </w:rPr>
        <w:t>en</w:t>
      </w:r>
      <w:r w:rsidR="0008203B" w:rsidRPr="00B57548">
        <w:rPr>
          <w:rFonts w:ascii="Arial" w:hAnsi="Arial" w:cs="Arial"/>
          <w:sz w:val="24"/>
          <w:szCs w:val="24"/>
        </w:rPr>
        <w:t xml:space="preserve"> el fortalecimiento del control del delito y </w:t>
      </w:r>
      <w:r w:rsidRPr="00B57548">
        <w:rPr>
          <w:rFonts w:ascii="Arial" w:hAnsi="Arial" w:cs="Arial"/>
          <w:sz w:val="24"/>
          <w:szCs w:val="24"/>
        </w:rPr>
        <w:t xml:space="preserve">en las acciones e inversión necesaria para </w:t>
      </w:r>
      <w:r w:rsidR="0008203B" w:rsidRPr="00B57548">
        <w:rPr>
          <w:rFonts w:ascii="Arial" w:hAnsi="Arial" w:cs="Arial"/>
          <w:sz w:val="24"/>
          <w:szCs w:val="24"/>
        </w:rPr>
        <w:t>incrementar las capacidades i</w:t>
      </w:r>
      <w:r w:rsidR="00465E0C" w:rsidRPr="00B57548">
        <w:rPr>
          <w:rFonts w:ascii="Arial" w:hAnsi="Arial" w:cs="Arial"/>
          <w:sz w:val="24"/>
          <w:szCs w:val="24"/>
        </w:rPr>
        <w:t>nstitucionales para la gestión de la seguridad</w:t>
      </w:r>
      <w:r w:rsidR="0008203B" w:rsidRPr="00B57548">
        <w:rPr>
          <w:rFonts w:ascii="Arial" w:hAnsi="Arial" w:cs="Arial"/>
          <w:sz w:val="24"/>
          <w:szCs w:val="24"/>
        </w:rPr>
        <w:t>.</w:t>
      </w:r>
    </w:p>
    <w:p w:rsidR="005C2731" w:rsidRPr="00B57548" w:rsidRDefault="005C2731" w:rsidP="00B57548">
      <w:pPr>
        <w:spacing w:after="0" w:line="240" w:lineRule="auto"/>
        <w:jc w:val="both"/>
        <w:rPr>
          <w:rFonts w:ascii="Arial" w:hAnsi="Arial" w:cs="Arial"/>
          <w:sz w:val="24"/>
          <w:szCs w:val="24"/>
        </w:rPr>
      </w:pPr>
    </w:p>
    <w:p w:rsidR="00886610" w:rsidRPr="00B57548" w:rsidRDefault="00886610" w:rsidP="00B57548">
      <w:pPr>
        <w:jc w:val="both"/>
        <w:rPr>
          <w:rFonts w:ascii="Arial" w:hAnsi="Arial" w:cs="Arial"/>
          <w:sz w:val="24"/>
          <w:szCs w:val="24"/>
        </w:rPr>
      </w:pPr>
      <w:r w:rsidRPr="00B57548">
        <w:rPr>
          <w:rFonts w:ascii="Arial" w:hAnsi="Arial" w:cs="Arial"/>
          <w:sz w:val="24"/>
          <w:szCs w:val="24"/>
        </w:rPr>
        <w:lastRenderedPageBreak/>
        <w:t>La arquitectura institucional que se ha configurado y fortalecido para desarrollar las acciones definidas en la Política Integral de Seguridad Ciudadana- PISC-  2012-2020, desde el Fondo de Seguridad, ha posibilitado la inversión estratégica y la eficiencia en  la aplicación de los recursos definidos.</w:t>
      </w:r>
      <w:r w:rsidR="003B0133" w:rsidRPr="00B57548">
        <w:rPr>
          <w:rFonts w:ascii="Arial" w:hAnsi="Arial" w:cs="Arial"/>
          <w:sz w:val="24"/>
          <w:szCs w:val="24"/>
        </w:rPr>
        <w:t xml:space="preserve"> Con este propósito se ha dado la </w:t>
      </w:r>
      <w:r w:rsidR="003B0133" w:rsidRPr="00B57548">
        <w:rPr>
          <w:rFonts w:ascii="Arial" w:hAnsi="Arial" w:cs="Arial"/>
          <w:i/>
          <w:sz w:val="24"/>
          <w:szCs w:val="24"/>
        </w:rPr>
        <w:t>c</w:t>
      </w:r>
      <w:r w:rsidRPr="00B57548">
        <w:rPr>
          <w:rFonts w:ascii="Arial" w:hAnsi="Arial" w:cs="Arial"/>
          <w:i/>
          <w:sz w:val="24"/>
          <w:szCs w:val="24"/>
        </w:rPr>
        <w:t>ualificación y oportunidad de la información para la toma de decisiones y orientación de la inversión.</w:t>
      </w:r>
      <w:r w:rsidR="003B0133" w:rsidRPr="00B57548">
        <w:rPr>
          <w:rFonts w:ascii="Arial" w:hAnsi="Arial" w:cs="Arial"/>
          <w:i/>
          <w:sz w:val="24"/>
          <w:szCs w:val="24"/>
        </w:rPr>
        <w:t xml:space="preserve"> </w:t>
      </w:r>
      <w:r w:rsidR="003B0133" w:rsidRPr="00B57548">
        <w:rPr>
          <w:rFonts w:ascii="Arial" w:hAnsi="Arial" w:cs="Arial"/>
          <w:sz w:val="24"/>
          <w:szCs w:val="24"/>
        </w:rPr>
        <w:t>De esta</w:t>
      </w:r>
      <w:r w:rsidRPr="00B57548">
        <w:rPr>
          <w:rFonts w:ascii="Arial" w:hAnsi="Arial" w:cs="Arial"/>
          <w:sz w:val="24"/>
          <w:szCs w:val="24"/>
        </w:rPr>
        <w:t xml:space="preserve">, </w:t>
      </w:r>
      <w:r w:rsidR="003B0133" w:rsidRPr="00B57548">
        <w:rPr>
          <w:rFonts w:ascii="Arial" w:hAnsi="Arial" w:cs="Arial"/>
          <w:sz w:val="24"/>
          <w:szCs w:val="24"/>
        </w:rPr>
        <w:t>se</w:t>
      </w:r>
      <w:r w:rsidRPr="00B57548">
        <w:rPr>
          <w:rFonts w:ascii="Arial" w:hAnsi="Arial" w:cs="Arial"/>
          <w:sz w:val="24"/>
          <w:szCs w:val="24"/>
        </w:rPr>
        <w:t xml:space="preserve"> fortaleció técnicamente el Sistema de Información Unificado- SIU- como el instrumento de  monitoreo &amp; evaluación de las acciones en seguridad ciudadana del Distrito. Desde el SIU, se registra de manera sistemática y rutinaria los datos estadísticos que produce cada institución </w:t>
      </w:r>
      <w:r w:rsidR="00D41170" w:rsidRPr="00B57548">
        <w:rPr>
          <w:rFonts w:ascii="Arial" w:hAnsi="Arial" w:cs="Arial"/>
          <w:sz w:val="24"/>
          <w:szCs w:val="24"/>
        </w:rPr>
        <w:t>(Policía</w:t>
      </w:r>
      <w:r w:rsidRPr="00B57548">
        <w:rPr>
          <w:rFonts w:ascii="Arial" w:hAnsi="Arial" w:cs="Arial"/>
          <w:sz w:val="24"/>
          <w:szCs w:val="24"/>
        </w:rPr>
        <w:t xml:space="preserve"> Metropolitana MEBAR, el Instituto de Medicina legal- IML, las Secretarias de Movilidad, Salud, Gobierno,  y otras), a partir de los cuáles produce los análisis estadísticos y de contexto; así como de seguimiento de los efectos de las acciones definidas en la PISC</w:t>
      </w:r>
      <w:r w:rsidR="00A969AC" w:rsidRPr="00B57548">
        <w:rPr>
          <w:rFonts w:ascii="Arial" w:hAnsi="Arial" w:cs="Arial"/>
          <w:sz w:val="24"/>
          <w:szCs w:val="24"/>
        </w:rPr>
        <w:t>C</w:t>
      </w:r>
      <w:r w:rsidRPr="00B57548">
        <w:rPr>
          <w:rFonts w:ascii="Arial" w:hAnsi="Arial" w:cs="Arial"/>
          <w:sz w:val="24"/>
          <w:szCs w:val="24"/>
        </w:rPr>
        <w:t>. Para este proceso se conformó e institucionalizó el Comité de validación interinstitucional, como espacio efectivo para optimizar la calidad de la información, donde se validan caso a caso los homicidios  que ocurren en el distrito, completando la información y estandarizando semanalmente los datos logrando una cifra única, validada y concertada entre todas las instituciones.</w:t>
      </w:r>
    </w:p>
    <w:p w:rsidR="005C2731" w:rsidRPr="00B57548" w:rsidRDefault="005C2731" w:rsidP="00B57548">
      <w:pPr>
        <w:spacing w:after="0"/>
        <w:jc w:val="both"/>
        <w:rPr>
          <w:rFonts w:ascii="Arial" w:hAnsi="Arial" w:cs="Arial"/>
          <w:sz w:val="24"/>
          <w:szCs w:val="24"/>
        </w:rPr>
      </w:pPr>
      <w:r w:rsidRPr="00B57548">
        <w:rPr>
          <w:rFonts w:ascii="Arial" w:hAnsi="Arial" w:cs="Arial"/>
          <w:sz w:val="24"/>
          <w:szCs w:val="24"/>
        </w:rPr>
        <w:t xml:space="preserve">Con la conformación y coordinación del Comité de Orden Público </w:t>
      </w:r>
      <w:r w:rsidR="00202EEE" w:rsidRPr="00B57548">
        <w:rPr>
          <w:rFonts w:ascii="Arial" w:hAnsi="Arial" w:cs="Arial"/>
          <w:sz w:val="24"/>
          <w:szCs w:val="24"/>
        </w:rPr>
        <w:t xml:space="preserve">con el concurso de las autoridades representantes de las instituciones de seguridad, justicia y gobierno, se han definido las medidas pertinentes en cada situación. Las orientaciones concertadas  en el Comité de Orden Público son puestas en operación con la coordinación técnica del Fondo Distrital  y las instituciones competentes y monitoreadas en lo que corresponde por el SIU. De esta manera el Fondo de Seguridad </w:t>
      </w:r>
      <w:r w:rsidRPr="00B57548">
        <w:rPr>
          <w:rFonts w:ascii="Arial" w:hAnsi="Arial" w:cs="Arial"/>
          <w:sz w:val="24"/>
          <w:szCs w:val="24"/>
        </w:rPr>
        <w:t xml:space="preserve">se ha mantenido al frente de los análisis de todos aquellos hechos que impactan la cotidianeidad de quienes habitan o transitan por el territorio distrital, con base en la información y análisis estadísticos y de contexto que genera el </w:t>
      </w:r>
      <w:r w:rsidR="00202EEE" w:rsidRPr="00B57548">
        <w:rPr>
          <w:rFonts w:ascii="Arial" w:hAnsi="Arial" w:cs="Arial"/>
          <w:sz w:val="24"/>
          <w:szCs w:val="24"/>
        </w:rPr>
        <w:t>sistema de información del Fondo.</w:t>
      </w:r>
    </w:p>
    <w:p w:rsidR="00093D76" w:rsidRPr="00B57548" w:rsidRDefault="00093D76" w:rsidP="00B57548">
      <w:pPr>
        <w:jc w:val="both"/>
        <w:rPr>
          <w:rFonts w:ascii="Arial" w:hAnsi="Arial" w:cs="Arial"/>
          <w:sz w:val="24"/>
          <w:szCs w:val="24"/>
        </w:rPr>
      </w:pPr>
    </w:p>
    <w:p w:rsidR="00093D76" w:rsidRPr="00B57548" w:rsidRDefault="00093D76" w:rsidP="00B57548">
      <w:pPr>
        <w:pStyle w:val="Prrafodelista"/>
        <w:jc w:val="both"/>
        <w:rPr>
          <w:rFonts w:ascii="Arial" w:hAnsi="Arial" w:cs="Arial"/>
          <w:sz w:val="24"/>
          <w:szCs w:val="24"/>
        </w:rPr>
      </w:pPr>
    </w:p>
    <w:p w:rsidR="00FB0647" w:rsidRPr="00B57548" w:rsidRDefault="00CA0B1C" w:rsidP="00B57548">
      <w:pPr>
        <w:pStyle w:val="Prrafodelista"/>
        <w:numPr>
          <w:ilvl w:val="0"/>
          <w:numId w:val="4"/>
        </w:numPr>
        <w:jc w:val="both"/>
        <w:rPr>
          <w:rFonts w:ascii="Arial" w:hAnsi="Arial" w:cs="Arial"/>
          <w:b/>
          <w:sz w:val="24"/>
          <w:szCs w:val="24"/>
        </w:rPr>
      </w:pPr>
      <w:r w:rsidRPr="00B57548">
        <w:rPr>
          <w:rFonts w:ascii="Arial" w:hAnsi="Arial" w:cs="Arial"/>
          <w:b/>
          <w:sz w:val="24"/>
          <w:szCs w:val="24"/>
        </w:rPr>
        <w:t>INVERSIÓN EN SEGURIDAD Y CONVIVENCIA</w:t>
      </w:r>
    </w:p>
    <w:p w:rsidR="00FB0647" w:rsidRPr="00B57548" w:rsidRDefault="00FB0647" w:rsidP="00B57548">
      <w:pPr>
        <w:pStyle w:val="Prrafodelista"/>
        <w:jc w:val="both"/>
        <w:rPr>
          <w:rFonts w:ascii="Arial" w:hAnsi="Arial" w:cs="Arial"/>
          <w:sz w:val="24"/>
          <w:szCs w:val="24"/>
        </w:rPr>
      </w:pPr>
    </w:p>
    <w:p w:rsidR="00FB0647" w:rsidRPr="00B57548" w:rsidRDefault="00FB0647" w:rsidP="00B57548">
      <w:pPr>
        <w:pStyle w:val="NormalWeb"/>
        <w:spacing w:before="0" w:beforeAutospacing="0" w:after="0" w:afterAutospacing="0"/>
        <w:jc w:val="both"/>
        <w:rPr>
          <w:rFonts w:ascii="Arial" w:hAnsi="Arial" w:cs="Arial"/>
        </w:rPr>
      </w:pPr>
      <w:r w:rsidRPr="00B57548">
        <w:rPr>
          <w:rFonts w:ascii="Arial" w:hAnsi="Arial" w:cs="Arial"/>
          <w:color w:val="000000" w:themeColor="text1"/>
          <w:kern w:val="24"/>
          <w:lang w:val="es-ES"/>
        </w:rPr>
        <w:t xml:space="preserve">La inversión en seguridad ha sido pensada y orientada bajo criterios de eficiencia y eficacia. </w:t>
      </w:r>
      <w:r w:rsidR="00D76AF7" w:rsidRPr="00B57548">
        <w:rPr>
          <w:rFonts w:ascii="Arial" w:hAnsi="Arial" w:cs="Arial"/>
          <w:color w:val="000000" w:themeColor="text1"/>
          <w:kern w:val="24"/>
        </w:rPr>
        <w:t xml:space="preserve">Con </w:t>
      </w:r>
      <w:r w:rsidRPr="00B57548">
        <w:rPr>
          <w:rFonts w:ascii="Arial" w:hAnsi="Arial" w:cs="Arial"/>
          <w:color w:val="000000" w:themeColor="text1"/>
          <w:kern w:val="24"/>
        </w:rPr>
        <w:t xml:space="preserve">  criterios de focalización claros, se ha invertido en infraestructura y tecnología para la prevención del delito</w:t>
      </w:r>
      <w:r w:rsidR="00465E0C" w:rsidRPr="00B57548">
        <w:rPr>
          <w:rFonts w:ascii="Arial" w:hAnsi="Arial" w:cs="Arial"/>
          <w:color w:val="000000" w:themeColor="text1"/>
          <w:kern w:val="24"/>
        </w:rPr>
        <w:t xml:space="preserve">, </w:t>
      </w:r>
      <w:r w:rsidR="00465E0C" w:rsidRPr="00B57548">
        <w:rPr>
          <w:rFonts w:ascii="Arial" w:hAnsi="Arial" w:cs="Arial"/>
          <w:color w:val="000000" w:themeColor="text1"/>
          <w:kern w:val="24"/>
          <w:lang w:val="es-ES"/>
        </w:rPr>
        <w:t>f</w:t>
      </w:r>
      <w:r w:rsidRPr="00B57548">
        <w:rPr>
          <w:rFonts w:ascii="Arial" w:hAnsi="Arial" w:cs="Arial"/>
          <w:color w:val="000000" w:themeColor="text1"/>
          <w:kern w:val="24"/>
          <w:lang w:val="es-ES"/>
        </w:rPr>
        <w:t>ortalecimiento institucional y  Prevención social</w:t>
      </w:r>
      <w:r w:rsidR="00465E0C" w:rsidRPr="00B57548">
        <w:rPr>
          <w:rFonts w:ascii="Arial" w:hAnsi="Arial" w:cs="Arial"/>
          <w:color w:val="000000" w:themeColor="text1"/>
          <w:kern w:val="24"/>
          <w:lang w:val="es-ES"/>
        </w:rPr>
        <w:t xml:space="preserve"> y situacional. Un total de  </w:t>
      </w:r>
      <w:r w:rsidR="00A850AA" w:rsidRPr="00B57548">
        <w:rPr>
          <w:rFonts w:ascii="Arial" w:hAnsi="Arial" w:cs="Arial"/>
          <w:color w:val="000000" w:themeColor="text1"/>
          <w:kern w:val="24"/>
          <w:lang w:val="es-ES"/>
        </w:rPr>
        <w:t>$88.081 millones de pesos se apropiaron del presupuesto general y se realizó una ejecución de $87,75</w:t>
      </w:r>
      <w:r w:rsidR="00D873A3" w:rsidRPr="00B57548">
        <w:rPr>
          <w:rFonts w:ascii="Arial" w:hAnsi="Arial" w:cs="Arial"/>
          <w:color w:val="000000" w:themeColor="text1"/>
          <w:kern w:val="24"/>
          <w:lang w:val="es-ES"/>
        </w:rPr>
        <w:t>6</w:t>
      </w:r>
      <w:r w:rsidR="00A850AA" w:rsidRPr="00B57548">
        <w:rPr>
          <w:rFonts w:ascii="Arial" w:hAnsi="Arial" w:cs="Arial"/>
          <w:color w:val="000000" w:themeColor="text1"/>
          <w:kern w:val="24"/>
          <w:lang w:val="es-ES"/>
        </w:rPr>
        <w:t xml:space="preserve"> millones  para un porcentaje de ejecución del 100%.</w:t>
      </w:r>
    </w:p>
    <w:p w:rsidR="00FB0647" w:rsidRPr="00B57548" w:rsidRDefault="00FB0647" w:rsidP="00B57548">
      <w:pPr>
        <w:jc w:val="both"/>
        <w:rPr>
          <w:rFonts w:ascii="Arial" w:hAnsi="Arial" w:cs="Arial"/>
          <w:b/>
          <w:sz w:val="24"/>
          <w:szCs w:val="24"/>
        </w:rPr>
      </w:pPr>
    </w:p>
    <w:p w:rsidR="0003456E" w:rsidRPr="00B57548" w:rsidRDefault="0003456E" w:rsidP="00B57548">
      <w:pPr>
        <w:jc w:val="both"/>
        <w:rPr>
          <w:rFonts w:ascii="Arial" w:hAnsi="Arial" w:cs="Arial"/>
          <w:b/>
          <w:sz w:val="24"/>
          <w:szCs w:val="24"/>
        </w:rPr>
      </w:pPr>
      <w:r w:rsidRPr="00B57548">
        <w:rPr>
          <w:rFonts w:ascii="Arial" w:hAnsi="Arial" w:cs="Arial"/>
          <w:noProof/>
          <w:sz w:val="24"/>
          <w:szCs w:val="24"/>
          <w:lang w:eastAsia="es-CO"/>
        </w:rPr>
        <w:lastRenderedPageBreak/>
        <w:drawing>
          <wp:inline distT="0" distB="0" distL="0" distR="0" wp14:anchorId="714A2BEA" wp14:editId="45839AEE">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3071" w:rsidRPr="00B57548" w:rsidRDefault="00B10305" w:rsidP="00B57548">
      <w:pPr>
        <w:pStyle w:val="Prrafodelista"/>
        <w:shd w:val="clear" w:color="auto" w:fill="FFFFFF"/>
        <w:spacing w:after="0" w:line="240" w:lineRule="auto"/>
        <w:ind w:left="-567"/>
        <w:jc w:val="both"/>
        <w:rPr>
          <w:rFonts w:ascii="Arial" w:eastAsia="Times New Roman" w:hAnsi="Arial" w:cs="Arial"/>
          <w:sz w:val="24"/>
          <w:szCs w:val="24"/>
          <w:lang w:eastAsia="es-CO"/>
        </w:rPr>
      </w:pPr>
      <w:r w:rsidRPr="00B57548">
        <w:rPr>
          <w:rFonts w:ascii="Arial" w:hAnsi="Arial" w:cs="Arial"/>
          <w:noProof/>
          <w:sz w:val="24"/>
          <w:szCs w:val="24"/>
          <w:lang w:eastAsia="es-CO"/>
        </w:rPr>
        <mc:AlternateContent>
          <mc:Choice Requires="wps">
            <w:drawing>
              <wp:anchor distT="0" distB="0" distL="114300" distR="114300" simplePos="0" relativeHeight="251658752" behindDoc="0" locked="0" layoutInCell="1" allowOverlap="1">
                <wp:simplePos x="0" y="0"/>
                <wp:positionH relativeFrom="column">
                  <wp:posOffset>3729990</wp:posOffset>
                </wp:positionH>
                <wp:positionV relativeFrom="paragraph">
                  <wp:posOffset>728345</wp:posOffset>
                </wp:positionV>
                <wp:extent cx="2543175" cy="107632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2543175"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normal41"/>
                              <w:tblW w:w="3686" w:type="dxa"/>
                              <w:jc w:val="center"/>
                              <w:tblLook w:val="04A0" w:firstRow="1" w:lastRow="0" w:firstColumn="1" w:lastColumn="0" w:noHBand="0" w:noVBand="1"/>
                            </w:tblPr>
                            <w:tblGrid>
                              <w:gridCol w:w="1595"/>
                              <w:gridCol w:w="2091"/>
                            </w:tblGrid>
                            <w:tr w:rsidR="00B10305" w:rsidRPr="00B10305" w:rsidTr="00B20ECC">
                              <w:trPr>
                                <w:cnfStyle w:val="100000000000" w:firstRow="1" w:lastRow="0" w:firstColumn="0" w:lastColumn="0" w:oddVBand="0" w:evenVBand="0" w:oddHBand="0"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5%</w:t>
                                  </w:r>
                                </w:p>
                              </w:tc>
                              <w:tc>
                                <w:tcPr>
                                  <w:tcW w:w="2091" w:type="dxa"/>
                                  <w:noWrap/>
                                  <w:hideMark/>
                                </w:tcPr>
                                <w:p w:rsidR="00B10305" w:rsidRPr="00B10305" w:rsidRDefault="00B10305" w:rsidP="00B1030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 xml:space="preserve">                      56.519,00 </w:t>
                                  </w:r>
                                </w:p>
                              </w:tc>
                            </w:tr>
                            <w:tr w:rsidR="00B10305" w:rsidRPr="00B10305" w:rsidTr="00B20ECC">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ICLD</w:t>
                                  </w:r>
                                </w:p>
                              </w:tc>
                              <w:tc>
                                <w:tcPr>
                                  <w:tcW w:w="2091" w:type="dxa"/>
                                  <w:noWrap/>
                                  <w:hideMark/>
                                </w:tcPr>
                                <w:p w:rsidR="00B10305" w:rsidRPr="00B10305" w:rsidRDefault="00B10305" w:rsidP="00B1030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4.571,00 </w:t>
                                  </w:r>
                                </w:p>
                              </w:tc>
                            </w:tr>
                            <w:tr w:rsidR="00B10305" w:rsidRPr="00B10305" w:rsidTr="00B20ECC">
                              <w:trPr>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COFINANCIACION</w:t>
                                  </w:r>
                                </w:p>
                              </w:tc>
                              <w:tc>
                                <w:tcPr>
                                  <w:tcW w:w="2091" w:type="dxa"/>
                                  <w:noWrap/>
                                  <w:hideMark/>
                                </w:tcPr>
                                <w:p w:rsidR="00B10305" w:rsidRPr="00B10305" w:rsidRDefault="00B10305" w:rsidP="00B1030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9.538,00 </w:t>
                                  </w:r>
                                </w:p>
                              </w:tc>
                            </w:tr>
                            <w:tr w:rsidR="00B10305" w:rsidRPr="00B10305" w:rsidTr="00B20ECC">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CONSTRUSEÑALES</w:t>
                                  </w:r>
                                </w:p>
                              </w:tc>
                              <w:tc>
                                <w:tcPr>
                                  <w:tcW w:w="2091" w:type="dxa"/>
                                  <w:noWrap/>
                                  <w:hideMark/>
                                </w:tcPr>
                                <w:p w:rsidR="00B10305" w:rsidRPr="00B10305" w:rsidRDefault="00B10305" w:rsidP="00B1030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9.100,00 </w:t>
                                  </w:r>
                                </w:p>
                              </w:tc>
                            </w:tr>
                            <w:tr w:rsidR="00B10305" w:rsidRPr="00B10305" w:rsidTr="00B20ECC">
                              <w:trPr>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CREDITO</w:t>
                                  </w:r>
                                </w:p>
                              </w:tc>
                              <w:tc>
                                <w:tcPr>
                                  <w:tcW w:w="2091" w:type="dxa"/>
                                  <w:noWrap/>
                                  <w:hideMark/>
                                </w:tcPr>
                                <w:p w:rsidR="00B10305" w:rsidRPr="00B10305" w:rsidRDefault="00B10305" w:rsidP="00B1030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5.610,00 </w:t>
                                  </w:r>
                                </w:p>
                              </w:tc>
                            </w:tr>
                            <w:tr w:rsidR="00B10305" w:rsidRPr="00B10305" w:rsidTr="00B20ECC">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 ETESA</w:t>
                                  </w:r>
                                </w:p>
                              </w:tc>
                              <w:tc>
                                <w:tcPr>
                                  <w:tcW w:w="2091" w:type="dxa"/>
                                  <w:noWrap/>
                                  <w:hideMark/>
                                </w:tcPr>
                                <w:p w:rsidR="00B10305" w:rsidRPr="00B10305" w:rsidRDefault="00B10305" w:rsidP="00B1030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815,00 </w:t>
                                  </w:r>
                                </w:p>
                              </w:tc>
                            </w:tr>
                            <w:tr w:rsidR="00B10305" w:rsidRPr="00B10305" w:rsidTr="00B20ECC">
                              <w:trPr>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jc w:val="right"/>
                                    <w:rPr>
                                      <w:rFonts w:ascii="Calibri" w:eastAsia="Times New Roman" w:hAnsi="Calibri" w:cs="Calibri"/>
                                      <w:b w:val="0"/>
                                      <w:i/>
                                      <w:color w:val="000000"/>
                                      <w:sz w:val="16"/>
                                      <w:szCs w:val="16"/>
                                      <w:lang w:eastAsia="es-CO"/>
                                    </w:rPr>
                                  </w:pPr>
                                  <w:r w:rsidRPr="00B10305">
                                    <w:rPr>
                                      <w:rFonts w:ascii="Calibri" w:eastAsia="Times New Roman" w:hAnsi="Calibri" w:cs="Calibri"/>
                                      <w:b w:val="0"/>
                                      <w:i/>
                                      <w:color w:val="000000"/>
                                      <w:sz w:val="16"/>
                                      <w:szCs w:val="16"/>
                                      <w:lang w:eastAsia="es-CO"/>
                                    </w:rPr>
                                    <w:t>Balance</w:t>
                                  </w:r>
                                </w:p>
                              </w:tc>
                              <w:tc>
                                <w:tcPr>
                                  <w:tcW w:w="2091" w:type="dxa"/>
                                  <w:noWrap/>
                                  <w:hideMark/>
                                </w:tcPr>
                                <w:p w:rsidR="00B10305" w:rsidRPr="00B10305" w:rsidRDefault="00B10305" w:rsidP="00B1030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1.603,00 </w:t>
                                  </w:r>
                                </w:p>
                              </w:tc>
                            </w:tr>
                          </w:tbl>
                          <w:p w:rsidR="00B10305" w:rsidRDefault="00B10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93.7pt;margin-top:57.35pt;width:200.25pt;height:8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LFkAIAAJIFAAAOAAAAZHJzL2Uyb0RvYy54bWysVEtvGyEQvlfqf0Dc6/Uzaa2sI9eRq0pR&#10;EtWpcsYsxKjAUMDedX99B3b9aJpLql52B+abGeabx9V1YzTZCR8U2JIOen1KhOVQKftc0u+Pyw8f&#10;KQmR2YppsKKkexHo9ez9u6vaTcUQNqAr4Qk6sWFau5JuYnTTogh8IwwLPXDColKCNyzi0T8XlWc1&#10;eje6GPb7F0UNvnIeuAgBb29aJZ1l/1IKHu+lDCISXVJ8W8xfn7/r9C1mV2z67JnbKN49g/3DKwxT&#10;FoMeXd2wyMjWq79cGcU9BJCxx8EUIKXiIueA2Qz6L7JZbZgTORckJ7gjTeH/ueV3uwdPVFXSESWW&#10;GSzRYssqD6QSJIomAhklkmoXpohdOUTH5jM0WOzDfcDLlHsjvUl/zIqgHuneHylGT4Tj5XAyHg0u&#10;J5Rw1A36lxej4ST5KU7mzof4RYAhSSipxxpmatnuNsQWeoCkaAG0qpZK63xIfSMW2pMdw4rrmB+J&#10;zv9AaUvqkl6MJv3s2EIybz1rm9yI3DlduJR6m2KW4l6LhNH2m5DIXM70ldiMc2GP8TM6oSSGeoth&#10;hz+96i3GbR5okSODjUdjoyz4nH0etRNl1Y8DZbLFY23O8k5ibNZN1xJrqPbYER7awQqOLxVW7ZaF&#10;+MA8ThI2AW6HeI8fqQFZh06iZAP+12v3CY8NjlpKapzMkoafW+YFJfqrxdb/NBiP0yjnw3hyOcSD&#10;P9eszzV2axaArTDAPeR4FhM+6oMoPZgnXCLzFBVVzHKMXdJ4EBex3Re4hLiYzzMIh9exeGtXjifX&#10;id7Uk4/NE/Oua9w0PXdwmGE2fdG/LTZZWphvI0iVmzsR3LLaEY+Dn8ejW1Jps5yfM+q0Sme/AQAA&#10;//8DAFBLAwQUAAYACAAAACEAYSzsqOMAAAALAQAADwAAAGRycy9kb3ducmV2LnhtbEyPy07DMBBF&#10;90j8gzVIbBB1mrYkDXEqhHhI7Gh4iJ0bD0lEPI5iNwl/z7CC5ege3Xsm3822EyMOvnWkYLmIQCBV&#10;zrRUK3gp7y9TED5oMrpzhAq+0cOuOD3JdWbcRM847kMtuIR8phU0IfSZlL5q0Gq/cD0SZ59usDrw&#10;OdTSDHrictvJOIqupNUt8UKje7xtsPraH62Cj4v6/cnPD6/TarPq7x7HMnkzpVLnZ/PNNYiAc/iD&#10;4Vef1aFgp4M7kvGiU7BJkzWjHCzXCQgmtmmyBXFQEKfrGGSRy/8/FD8AAAD//wMAUEsBAi0AFAAG&#10;AAgAAAAhALaDOJL+AAAA4QEAABMAAAAAAAAAAAAAAAAAAAAAAFtDb250ZW50X1R5cGVzXS54bWxQ&#10;SwECLQAUAAYACAAAACEAOP0h/9YAAACUAQAACwAAAAAAAAAAAAAAAAAvAQAAX3JlbHMvLnJlbHNQ&#10;SwECLQAUAAYACAAAACEAhvcixZACAACSBQAADgAAAAAAAAAAAAAAAAAuAgAAZHJzL2Uyb0RvYy54&#10;bWxQSwECLQAUAAYACAAAACEAYSzsqOMAAAALAQAADwAAAAAAAAAAAAAAAADqBAAAZHJzL2Rvd25y&#10;ZXYueG1sUEsFBgAAAAAEAAQA8wAAAPoFAAAAAA==&#10;" fillcolor="white [3201]" stroked="f" strokeweight=".5pt">
                <v:textbox>
                  <w:txbxContent>
                    <w:tbl>
                      <w:tblPr>
                        <w:tblStyle w:val="Tablanormal41"/>
                        <w:tblW w:w="3686" w:type="dxa"/>
                        <w:jc w:val="center"/>
                        <w:tblLook w:val="04A0" w:firstRow="1" w:lastRow="0" w:firstColumn="1" w:lastColumn="0" w:noHBand="0" w:noVBand="1"/>
                      </w:tblPr>
                      <w:tblGrid>
                        <w:gridCol w:w="1595"/>
                        <w:gridCol w:w="2091"/>
                      </w:tblGrid>
                      <w:tr w:rsidR="00B10305" w:rsidRPr="00B10305" w:rsidTr="00B20ECC">
                        <w:trPr>
                          <w:cnfStyle w:val="100000000000" w:firstRow="1" w:lastRow="0" w:firstColumn="0" w:lastColumn="0" w:oddVBand="0" w:evenVBand="0" w:oddHBand="0"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5%</w:t>
                            </w:r>
                          </w:p>
                        </w:tc>
                        <w:tc>
                          <w:tcPr>
                            <w:tcW w:w="2091" w:type="dxa"/>
                            <w:noWrap/>
                            <w:hideMark/>
                          </w:tcPr>
                          <w:p w:rsidR="00B10305" w:rsidRPr="00B10305" w:rsidRDefault="00B10305" w:rsidP="00B1030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 xml:space="preserve">                      56.519,00 </w:t>
                            </w:r>
                          </w:p>
                        </w:tc>
                      </w:tr>
                      <w:tr w:rsidR="00B10305" w:rsidRPr="00B10305" w:rsidTr="00B20ECC">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ICLD</w:t>
                            </w:r>
                          </w:p>
                        </w:tc>
                        <w:tc>
                          <w:tcPr>
                            <w:tcW w:w="2091" w:type="dxa"/>
                            <w:noWrap/>
                            <w:hideMark/>
                          </w:tcPr>
                          <w:p w:rsidR="00B10305" w:rsidRPr="00B10305" w:rsidRDefault="00B10305" w:rsidP="00B1030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4.571,00 </w:t>
                            </w:r>
                          </w:p>
                        </w:tc>
                      </w:tr>
                      <w:tr w:rsidR="00B10305" w:rsidRPr="00B10305" w:rsidTr="00B20ECC">
                        <w:trPr>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COFINANCIACION</w:t>
                            </w:r>
                          </w:p>
                        </w:tc>
                        <w:tc>
                          <w:tcPr>
                            <w:tcW w:w="2091" w:type="dxa"/>
                            <w:noWrap/>
                            <w:hideMark/>
                          </w:tcPr>
                          <w:p w:rsidR="00B10305" w:rsidRPr="00B10305" w:rsidRDefault="00B10305" w:rsidP="00B1030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9.538,00 </w:t>
                            </w:r>
                          </w:p>
                        </w:tc>
                      </w:tr>
                      <w:tr w:rsidR="00B10305" w:rsidRPr="00B10305" w:rsidTr="00B20ECC">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CONSTRUSEÑALES</w:t>
                            </w:r>
                          </w:p>
                        </w:tc>
                        <w:tc>
                          <w:tcPr>
                            <w:tcW w:w="2091" w:type="dxa"/>
                            <w:noWrap/>
                            <w:hideMark/>
                          </w:tcPr>
                          <w:p w:rsidR="00B10305" w:rsidRPr="00B10305" w:rsidRDefault="00B10305" w:rsidP="00B1030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9.100,00 </w:t>
                            </w:r>
                          </w:p>
                        </w:tc>
                      </w:tr>
                      <w:tr w:rsidR="00B10305" w:rsidRPr="00B10305" w:rsidTr="00B20ECC">
                        <w:trPr>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CREDITO</w:t>
                            </w:r>
                          </w:p>
                        </w:tc>
                        <w:tc>
                          <w:tcPr>
                            <w:tcW w:w="2091" w:type="dxa"/>
                            <w:noWrap/>
                            <w:hideMark/>
                          </w:tcPr>
                          <w:p w:rsidR="00B10305" w:rsidRPr="00B10305" w:rsidRDefault="00B10305" w:rsidP="00B1030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5.610,00 </w:t>
                            </w:r>
                          </w:p>
                        </w:tc>
                      </w:tr>
                      <w:tr w:rsidR="00B10305" w:rsidRPr="00B10305" w:rsidTr="00B20ECC">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rPr>
                                <w:rFonts w:ascii="Calibri" w:eastAsia="Times New Roman" w:hAnsi="Calibri" w:cs="Calibri"/>
                                <w:b w:val="0"/>
                                <w:color w:val="000000"/>
                                <w:sz w:val="16"/>
                                <w:szCs w:val="16"/>
                                <w:lang w:eastAsia="es-CO"/>
                              </w:rPr>
                            </w:pPr>
                            <w:r w:rsidRPr="00B10305">
                              <w:rPr>
                                <w:rFonts w:ascii="Calibri" w:eastAsia="Times New Roman" w:hAnsi="Calibri" w:cs="Calibri"/>
                                <w:b w:val="0"/>
                                <w:color w:val="000000"/>
                                <w:sz w:val="16"/>
                                <w:szCs w:val="16"/>
                                <w:lang w:eastAsia="es-CO"/>
                              </w:rPr>
                              <w:t>C. ETESA</w:t>
                            </w:r>
                          </w:p>
                        </w:tc>
                        <w:tc>
                          <w:tcPr>
                            <w:tcW w:w="2091" w:type="dxa"/>
                            <w:noWrap/>
                            <w:hideMark/>
                          </w:tcPr>
                          <w:p w:rsidR="00B10305" w:rsidRPr="00B10305" w:rsidRDefault="00B10305" w:rsidP="00B1030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815,00 </w:t>
                            </w:r>
                          </w:p>
                        </w:tc>
                      </w:tr>
                      <w:tr w:rsidR="00B10305" w:rsidRPr="00B10305" w:rsidTr="00B20ECC">
                        <w:trPr>
                          <w:trHeight w:val="190"/>
                          <w:jc w:val="center"/>
                        </w:trPr>
                        <w:tc>
                          <w:tcPr>
                            <w:cnfStyle w:val="001000000000" w:firstRow="0" w:lastRow="0" w:firstColumn="1" w:lastColumn="0" w:oddVBand="0" w:evenVBand="0" w:oddHBand="0" w:evenHBand="0" w:firstRowFirstColumn="0" w:firstRowLastColumn="0" w:lastRowFirstColumn="0" w:lastRowLastColumn="0"/>
                            <w:tcW w:w="1595" w:type="dxa"/>
                            <w:noWrap/>
                            <w:hideMark/>
                          </w:tcPr>
                          <w:p w:rsidR="00B10305" w:rsidRPr="00B10305" w:rsidRDefault="00B10305" w:rsidP="00B10305">
                            <w:pPr>
                              <w:jc w:val="right"/>
                              <w:rPr>
                                <w:rFonts w:ascii="Calibri" w:eastAsia="Times New Roman" w:hAnsi="Calibri" w:cs="Calibri"/>
                                <w:b w:val="0"/>
                                <w:i/>
                                <w:color w:val="000000"/>
                                <w:sz w:val="16"/>
                                <w:szCs w:val="16"/>
                                <w:lang w:eastAsia="es-CO"/>
                              </w:rPr>
                            </w:pPr>
                            <w:r w:rsidRPr="00B10305">
                              <w:rPr>
                                <w:rFonts w:ascii="Calibri" w:eastAsia="Times New Roman" w:hAnsi="Calibri" w:cs="Calibri"/>
                                <w:b w:val="0"/>
                                <w:i/>
                                <w:color w:val="000000"/>
                                <w:sz w:val="16"/>
                                <w:szCs w:val="16"/>
                                <w:lang w:eastAsia="es-CO"/>
                              </w:rPr>
                              <w:t>Balance</w:t>
                            </w:r>
                          </w:p>
                        </w:tc>
                        <w:tc>
                          <w:tcPr>
                            <w:tcW w:w="2091" w:type="dxa"/>
                            <w:noWrap/>
                            <w:hideMark/>
                          </w:tcPr>
                          <w:p w:rsidR="00B10305" w:rsidRPr="00B10305" w:rsidRDefault="00B10305" w:rsidP="00B1030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CO"/>
                              </w:rPr>
                            </w:pPr>
                            <w:r w:rsidRPr="00B10305">
                              <w:rPr>
                                <w:rFonts w:ascii="Calibri" w:eastAsia="Times New Roman" w:hAnsi="Calibri" w:cs="Calibri"/>
                                <w:color w:val="000000"/>
                                <w:sz w:val="16"/>
                                <w:szCs w:val="16"/>
                                <w:lang w:eastAsia="es-CO"/>
                              </w:rPr>
                              <w:t xml:space="preserve">                        1.603,00 </w:t>
                            </w:r>
                          </w:p>
                        </w:tc>
                      </w:tr>
                    </w:tbl>
                    <w:p w:rsidR="00B10305" w:rsidRDefault="00B10305"/>
                  </w:txbxContent>
                </v:textbox>
              </v:shape>
            </w:pict>
          </mc:Fallback>
        </mc:AlternateContent>
      </w:r>
      <w:r w:rsidRPr="00B57548">
        <w:rPr>
          <w:rFonts w:ascii="Arial" w:hAnsi="Arial" w:cs="Arial"/>
          <w:noProof/>
          <w:sz w:val="24"/>
          <w:szCs w:val="24"/>
          <w:lang w:eastAsia="es-CO"/>
        </w:rPr>
        <w:drawing>
          <wp:inline distT="0" distB="0" distL="0" distR="0" wp14:anchorId="037A6AD0" wp14:editId="0A605414">
            <wp:extent cx="4187776" cy="2672862"/>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0305" w:rsidRPr="00B57548" w:rsidRDefault="00B10305"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Pr="00B57548"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Pr="00B57548"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Pr="00B57548"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B57548" w:rsidRPr="00B57548" w:rsidRDefault="00B57548"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Pr="00B57548"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Pr="00B57548"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093D76" w:rsidRPr="00B57548" w:rsidRDefault="00093D76" w:rsidP="00B57548">
      <w:pPr>
        <w:pStyle w:val="Prrafodelista"/>
        <w:shd w:val="clear" w:color="auto" w:fill="FFFFFF"/>
        <w:spacing w:after="0" w:line="240" w:lineRule="auto"/>
        <w:jc w:val="both"/>
        <w:rPr>
          <w:rFonts w:ascii="Arial" w:eastAsia="Times New Roman" w:hAnsi="Arial" w:cs="Arial"/>
          <w:sz w:val="24"/>
          <w:szCs w:val="24"/>
          <w:lang w:eastAsia="es-CO"/>
        </w:rPr>
      </w:pPr>
    </w:p>
    <w:p w:rsidR="0043629B" w:rsidRPr="00B57548" w:rsidRDefault="00AE2F15" w:rsidP="00B57548">
      <w:pPr>
        <w:pStyle w:val="Prrafodelista"/>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b/>
          <w:bCs/>
          <w:sz w:val="24"/>
          <w:szCs w:val="24"/>
          <w:lang w:eastAsia="es-CO"/>
        </w:rPr>
        <w:lastRenderedPageBreak/>
        <w:t xml:space="preserve">Resultados por líneas de inversión </w:t>
      </w:r>
    </w:p>
    <w:p w:rsidR="0043629B" w:rsidRPr="00B57548" w:rsidRDefault="0043629B" w:rsidP="00B57548">
      <w:pPr>
        <w:shd w:val="clear" w:color="auto" w:fill="FFFFFF"/>
        <w:spacing w:after="0" w:line="240" w:lineRule="auto"/>
        <w:ind w:left="720"/>
        <w:jc w:val="both"/>
        <w:rPr>
          <w:rFonts w:ascii="Arial" w:eastAsia="Times New Roman" w:hAnsi="Arial" w:cs="Arial"/>
          <w:sz w:val="24"/>
          <w:szCs w:val="24"/>
          <w:lang w:eastAsia="es-CO"/>
        </w:rPr>
      </w:pPr>
    </w:p>
    <w:tbl>
      <w:tblPr>
        <w:tblStyle w:val="Tabladecuadrcula1clara1"/>
        <w:tblW w:w="9035" w:type="dxa"/>
        <w:tblLook w:val="04A0" w:firstRow="1" w:lastRow="0" w:firstColumn="1" w:lastColumn="0" w:noHBand="0" w:noVBand="1"/>
      </w:tblPr>
      <w:tblGrid>
        <w:gridCol w:w="7645"/>
        <w:gridCol w:w="1409"/>
      </w:tblGrid>
      <w:tr w:rsidR="007C5BC7" w:rsidRPr="00B57548" w:rsidTr="00F9774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7692" w:type="dxa"/>
            <w:hideMark/>
          </w:tcPr>
          <w:p w:rsidR="007C5BC7" w:rsidRPr="00B57548" w:rsidRDefault="00991EB9" w:rsidP="00B57548">
            <w:pPr>
              <w:jc w:val="both"/>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Tabla n°1. Inversión total por Líneas</w:t>
            </w:r>
            <w:r w:rsidR="007C5BC7" w:rsidRPr="00B57548">
              <w:rPr>
                <w:rFonts w:ascii="Arial" w:eastAsia="Times New Roman" w:hAnsi="Arial" w:cs="Arial"/>
                <w:color w:val="000000"/>
                <w:sz w:val="24"/>
                <w:szCs w:val="24"/>
                <w:lang w:eastAsia="es-CO"/>
              </w:rPr>
              <w:t xml:space="preserve"> </w:t>
            </w:r>
          </w:p>
        </w:tc>
        <w:tc>
          <w:tcPr>
            <w:tcW w:w="1343" w:type="dxa"/>
            <w:hideMark/>
          </w:tcPr>
          <w:p w:rsidR="00C935B6" w:rsidRPr="00B57548" w:rsidRDefault="007C5BC7" w:rsidP="00B57548">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 xml:space="preserve"> Inversión$</w:t>
            </w:r>
          </w:p>
          <w:p w:rsidR="007C5BC7" w:rsidRPr="00B57548" w:rsidRDefault="007C5BC7" w:rsidP="00B57548">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 xml:space="preserve">(millones) </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noWrap/>
            <w:hideMark/>
          </w:tcPr>
          <w:p w:rsidR="007C5BC7" w:rsidRPr="00B57548" w:rsidRDefault="007C5BC7" w:rsidP="00B57548">
            <w:pPr>
              <w:jc w:val="both"/>
              <w:rPr>
                <w:rFonts w:ascii="Arial" w:eastAsia="Times New Roman" w:hAnsi="Arial" w:cs="Arial"/>
                <w:color w:val="0070C0"/>
                <w:sz w:val="24"/>
                <w:szCs w:val="24"/>
                <w:lang w:eastAsia="es-CO"/>
              </w:rPr>
            </w:pPr>
            <w:r w:rsidRPr="00B57548">
              <w:rPr>
                <w:rFonts w:ascii="Arial" w:eastAsia="Times New Roman" w:hAnsi="Arial" w:cs="Arial"/>
                <w:color w:val="0070C0"/>
                <w:sz w:val="24"/>
                <w:szCs w:val="24"/>
                <w:lang w:val="es-ES" w:eastAsia="es-CO"/>
              </w:rPr>
              <w:t xml:space="preserve">Línea de inversión 1. </w:t>
            </w:r>
            <w:r w:rsidRPr="00B57548">
              <w:rPr>
                <w:rFonts w:ascii="Arial" w:eastAsia="Times New Roman" w:hAnsi="Arial" w:cs="Arial"/>
                <w:color w:val="595959" w:themeColor="text1" w:themeTint="A6"/>
                <w:sz w:val="24"/>
                <w:szCs w:val="24"/>
                <w:lang w:val="es-ES" w:eastAsia="es-CO"/>
              </w:rPr>
              <w:t>Más y Mejores Policías para Barranquilla</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 xml:space="preserve">   3.590,00 </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noWrap/>
            <w:hideMark/>
          </w:tcPr>
          <w:p w:rsidR="007C5BC7" w:rsidRPr="00B57548" w:rsidRDefault="007C5BC7" w:rsidP="00B57548">
            <w:pPr>
              <w:jc w:val="both"/>
              <w:rPr>
                <w:rFonts w:ascii="Arial" w:eastAsia="Times New Roman" w:hAnsi="Arial" w:cs="Arial"/>
                <w:color w:val="0070C0"/>
                <w:sz w:val="24"/>
                <w:szCs w:val="24"/>
                <w:lang w:eastAsia="es-CO"/>
              </w:rPr>
            </w:pPr>
            <w:r w:rsidRPr="00B57548">
              <w:rPr>
                <w:rFonts w:ascii="Arial" w:eastAsia="Times New Roman" w:hAnsi="Arial" w:cs="Arial"/>
                <w:color w:val="0070C0"/>
                <w:sz w:val="24"/>
                <w:szCs w:val="24"/>
                <w:lang w:val="es-ES" w:eastAsia="es-CO"/>
              </w:rPr>
              <w:t>Línea de inversión 2</w:t>
            </w:r>
            <w:r w:rsidRPr="00B57548">
              <w:rPr>
                <w:rFonts w:ascii="Arial" w:eastAsia="Times New Roman" w:hAnsi="Arial" w:cs="Arial"/>
                <w:color w:val="404040"/>
                <w:sz w:val="24"/>
                <w:szCs w:val="24"/>
                <w:lang w:val="es-ES" w:eastAsia="es-CO"/>
              </w:rPr>
              <w:t>. Fortalecimiento de los equipamientos de seguridad</w:t>
            </w:r>
            <w:r w:rsidRPr="00B57548">
              <w:rPr>
                <w:rFonts w:ascii="Arial" w:eastAsia="Times New Roman" w:hAnsi="Arial" w:cs="Arial"/>
                <w:color w:val="000000"/>
                <w:sz w:val="24"/>
                <w:szCs w:val="24"/>
                <w:lang w:val="es-ES" w:eastAsia="es-CO"/>
              </w:rPr>
              <w:t xml:space="preserve">. </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 xml:space="preserve"> 18.694,00 </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noWrap/>
            <w:hideMark/>
          </w:tcPr>
          <w:p w:rsidR="007C5BC7" w:rsidRPr="00B57548" w:rsidRDefault="007C5BC7" w:rsidP="00B57548">
            <w:pPr>
              <w:jc w:val="both"/>
              <w:rPr>
                <w:rFonts w:ascii="Arial" w:eastAsia="Times New Roman" w:hAnsi="Arial" w:cs="Arial"/>
                <w:color w:val="0070C0"/>
                <w:sz w:val="24"/>
                <w:szCs w:val="24"/>
                <w:lang w:eastAsia="es-CO"/>
              </w:rPr>
            </w:pPr>
            <w:r w:rsidRPr="00B57548">
              <w:rPr>
                <w:rFonts w:ascii="Arial" w:eastAsia="Times New Roman" w:hAnsi="Arial" w:cs="Arial"/>
                <w:color w:val="0070C0"/>
                <w:sz w:val="24"/>
                <w:szCs w:val="24"/>
                <w:lang w:val="es-ES" w:eastAsia="es-CO"/>
              </w:rPr>
              <w:t>Línea de inversión 3</w:t>
            </w:r>
            <w:r w:rsidRPr="00B57548">
              <w:rPr>
                <w:rFonts w:ascii="Arial" w:eastAsia="Times New Roman" w:hAnsi="Arial" w:cs="Arial"/>
                <w:color w:val="000000"/>
                <w:sz w:val="24"/>
                <w:szCs w:val="24"/>
                <w:lang w:val="es-ES" w:eastAsia="es-CO"/>
              </w:rPr>
              <w:t xml:space="preserve">. </w:t>
            </w:r>
            <w:r w:rsidRPr="00B57548">
              <w:rPr>
                <w:rFonts w:ascii="Arial" w:eastAsia="Times New Roman" w:hAnsi="Arial" w:cs="Arial"/>
                <w:color w:val="595959" w:themeColor="text1" w:themeTint="A6"/>
                <w:sz w:val="24"/>
                <w:szCs w:val="24"/>
                <w:lang w:val="es-ES" w:eastAsia="es-CO"/>
              </w:rPr>
              <w:t>Infraestructura para la Seguridad</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13.069,00</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noWrap/>
            <w:hideMark/>
          </w:tcPr>
          <w:p w:rsidR="007C5BC7" w:rsidRPr="00B57548" w:rsidRDefault="007C5BC7" w:rsidP="00B57548">
            <w:pPr>
              <w:jc w:val="both"/>
              <w:rPr>
                <w:rFonts w:ascii="Arial" w:eastAsia="Times New Roman" w:hAnsi="Arial" w:cs="Arial"/>
                <w:color w:val="0070C0"/>
                <w:sz w:val="24"/>
                <w:szCs w:val="24"/>
                <w:lang w:eastAsia="es-CO"/>
              </w:rPr>
            </w:pPr>
            <w:r w:rsidRPr="00B57548">
              <w:rPr>
                <w:rFonts w:ascii="Arial" w:eastAsia="Times New Roman" w:hAnsi="Arial" w:cs="Arial"/>
                <w:color w:val="0070C0"/>
                <w:sz w:val="24"/>
                <w:szCs w:val="24"/>
                <w:lang w:val="es-ES" w:eastAsia="es-CO"/>
              </w:rPr>
              <w:t>Línea de inversión 4</w:t>
            </w:r>
            <w:r w:rsidRPr="00B57548">
              <w:rPr>
                <w:rFonts w:ascii="Arial" w:eastAsia="Times New Roman" w:hAnsi="Arial" w:cs="Arial"/>
                <w:color w:val="000000"/>
                <w:sz w:val="24"/>
                <w:szCs w:val="24"/>
                <w:lang w:val="es-ES" w:eastAsia="es-CO"/>
              </w:rPr>
              <w:t xml:space="preserve">. </w:t>
            </w:r>
            <w:r w:rsidRPr="00B57548">
              <w:rPr>
                <w:rFonts w:ascii="Arial" w:eastAsia="Times New Roman" w:hAnsi="Arial" w:cs="Arial"/>
                <w:color w:val="595959" w:themeColor="text1" w:themeTint="A6"/>
                <w:sz w:val="24"/>
                <w:szCs w:val="24"/>
                <w:lang w:val="es-ES" w:eastAsia="es-CO"/>
              </w:rPr>
              <w:t>Tecnología para la prevención del delito</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 xml:space="preserve">  22.177,00 </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noWrap/>
            <w:hideMark/>
          </w:tcPr>
          <w:p w:rsidR="007C5BC7" w:rsidRPr="00B57548" w:rsidRDefault="007C5BC7" w:rsidP="00B57548">
            <w:pPr>
              <w:jc w:val="both"/>
              <w:rPr>
                <w:rFonts w:ascii="Arial" w:eastAsia="Times New Roman" w:hAnsi="Arial" w:cs="Arial"/>
                <w:color w:val="0070C0"/>
                <w:sz w:val="24"/>
                <w:szCs w:val="24"/>
                <w:lang w:eastAsia="es-CO"/>
              </w:rPr>
            </w:pPr>
            <w:r w:rsidRPr="00B57548">
              <w:rPr>
                <w:rFonts w:ascii="Arial" w:eastAsia="Times New Roman" w:hAnsi="Arial" w:cs="Arial"/>
                <w:color w:val="0070C0"/>
                <w:sz w:val="24"/>
                <w:szCs w:val="24"/>
                <w:lang w:val="es-ES" w:eastAsia="es-CO"/>
              </w:rPr>
              <w:t>Línea de inversión 5</w:t>
            </w:r>
            <w:r w:rsidRPr="00B57548">
              <w:rPr>
                <w:rFonts w:ascii="Arial" w:eastAsia="Times New Roman" w:hAnsi="Arial" w:cs="Arial"/>
                <w:color w:val="000000"/>
                <w:sz w:val="24"/>
                <w:szCs w:val="24"/>
                <w:lang w:val="es-ES" w:eastAsia="es-CO"/>
              </w:rPr>
              <w:t xml:space="preserve">. </w:t>
            </w:r>
            <w:r w:rsidRPr="00B57548">
              <w:rPr>
                <w:rFonts w:ascii="Arial" w:eastAsia="Times New Roman" w:hAnsi="Arial" w:cs="Arial"/>
                <w:color w:val="595959" w:themeColor="text1" w:themeTint="A6"/>
                <w:sz w:val="24"/>
                <w:szCs w:val="24"/>
                <w:lang w:val="es-ES" w:eastAsia="es-CO"/>
              </w:rPr>
              <w:t>Justicia Cercana al Ciudadano</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8.484,00</w:t>
            </w:r>
          </w:p>
        </w:tc>
      </w:tr>
      <w:tr w:rsidR="007C5BC7" w:rsidRPr="00B57548" w:rsidTr="00C935B6">
        <w:trPr>
          <w:trHeight w:val="522"/>
        </w:trPr>
        <w:tc>
          <w:tcPr>
            <w:cnfStyle w:val="001000000000" w:firstRow="0" w:lastRow="0" w:firstColumn="1" w:lastColumn="0" w:oddVBand="0" w:evenVBand="0" w:oddHBand="0" w:evenHBand="0" w:firstRowFirstColumn="0" w:firstRowLastColumn="0" w:lastRowFirstColumn="0" w:lastRowLastColumn="0"/>
            <w:tcW w:w="7692" w:type="dxa"/>
            <w:hideMark/>
          </w:tcPr>
          <w:p w:rsidR="007C5BC7" w:rsidRPr="00B57548" w:rsidRDefault="007C5BC7" w:rsidP="00B57548">
            <w:pPr>
              <w:jc w:val="both"/>
              <w:rPr>
                <w:rFonts w:ascii="Arial" w:eastAsia="Times New Roman" w:hAnsi="Arial" w:cs="Arial"/>
                <w:color w:val="0070C0"/>
                <w:sz w:val="24"/>
                <w:szCs w:val="24"/>
                <w:lang w:eastAsia="es-CO"/>
              </w:rPr>
            </w:pPr>
            <w:r w:rsidRPr="00B57548">
              <w:rPr>
                <w:rFonts w:ascii="Arial" w:eastAsia="Times New Roman" w:hAnsi="Arial" w:cs="Arial"/>
                <w:color w:val="0070C0"/>
                <w:sz w:val="24"/>
                <w:szCs w:val="24"/>
                <w:lang w:eastAsia="es-CO"/>
              </w:rPr>
              <w:t>Línea de inversión 6</w:t>
            </w:r>
            <w:r w:rsidRPr="00B57548">
              <w:rPr>
                <w:rFonts w:ascii="Arial" w:eastAsia="Times New Roman" w:hAnsi="Arial" w:cs="Arial"/>
                <w:color w:val="000000"/>
                <w:sz w:val="24"/>
                <w:szCs w:val="24"/>
                <w:lang w:eastAsia="es-CO"/>
              </w:rPr>
              <w:t xml:space="preserve">. </w:t>
            </w:r>
            <w:r w:rsidRPr="00B57548">
              <w:rPr>
                <w:rFonts w:ascii="Arial" w:eastAsia="Times New Roman" w:hAnsi="Arial" w:cs="Arial"/>
                <w:color w:val="595959" w:themeColor="text1" w:themeTint="A6"/>
                <w:sz w:val="24"/>
                <w:szCs w:val="24"/>
                <w:lang w:eastAsia="es-CO"/>
              </w:rPr>
              <w:t>Inversión en intervención situacional para la reducción y control de riesgos y del delito</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12.320,00</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hideMark/>
          </w:tcPr>
          <w:p w:rsidR="007C5BC7" w:rsidRPr="00B57548" w:rsidRDefault="00C935B6" w:rsidP="00B57548">
            <w:pPr>
              <w:jc w:val="both"/>
              <w:rPr>
                <w:rFonts w:ascii="Arial" w:eastAsia="Times New Roman" w:hAnsi="Arial" w:cs="Arial"/>
                <w:color w:val="000000"/>
                <w:sz w:val="24"/>
                <w:szCs w:val="24"/>
                <w:lang w:eastAsia="es-CO"/>
              </w:rPr>
            </w:pPr>
            <w:r w:rsidRPr="00B57548">
              <w:rPr>
                <w:rFonts w:ascii="Arial" w:eastAsia="Times New Roman" w:hAnsi="Arial" w:cs="Arial"/>
                <w:color w:val="0070C0"/>
                <w:sz w:val="24"/>
                <w:szCs w:val="24"/>
                <w:lang w:eastAsia="es-CO"/>
              </w:rPr>
              <w:t>Línea</w:t>
            </w:r>
            <w:r w:rsidR="007C5BC7" w:rsidRPr="00B57548">
              <w:rPr>
                <w:rFonts w:ascii="Arial" w:eastAsia="Times New Roman" w:hAnsi="Arial" w:cs="Arial"/>
                <w:color w:val="0070C0"/>
                <w:sz w:val="24"/>
                <w:szCs w:val="24"/>
                <w:lang w:eastAsia="es-CO"/>
              </w:rPr>
              <w:t xml:space="preserve"> de inversión 7</w:t>
            </w:r>
            <w:r w:rsidR="007C5BC7" w:rsidRPr="00B57548">
              <w:rPr>
                <w:rFonts w:ascii="Arial" w:eastAsia="Times New Roman" w:hAnsi="Arial" w:cs="Arial"/>
                <w:color w:val="000000"/>
                <w:sz w:val="24"/>
                <w:szCs w:val="24"/>
                <w:lang w:eastAsia="es-CO"/>
              </w:rPr>
              <w:t xml:space="preserve">. </w:t>
            </w:r>
            <w:r w:rsidRPr="00B57548">
              <w:rPr>
                <w:rFonts w:ascii="Arial" w:eastAsia="Times New Roman" w:hAnsi="Arial" w:cs="Arial"/>
                <w:color w:val="595959" w:themeColor="text1" w:themeTint="A6"/>
                <w:sz w:val="24"/>
                <w:szCs w:val="24"/>
                <w:lang w:eastAsia="es-CO"/>
              </w:rPr>
              <w:t>Promoción</w:t>
            </w:r>
            <w:r w:rsidR="007C5BC7" w:rsidRPr="00B57548">
              <w:rPr>
                <w:rFonts w:ascii="Arial" w:eastAsia="Times New Roman" w:hAnsi="Arial" w:cs="Arial"/>
                <w:color w:val="595959" w:themeColor="text1" w:themeTint="A6"/>
                <w:sz w:val="24"/>
                <w:szCs w:val="24"/>
                <w:lang w:eastAsia="es-CO"/>
              </w:rPr>
              <w:t xml:space="preserve"> de la convivencia ciudadana</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3.780,00</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hideMark/>
          </w:tcPr>
          <w:p w:rsidR="007C5BC7" w:rsidRPr="00B57548" w:rsidRDefault="007C5BC7" w:rsidP="00B57548">
            <w:pPr>
              <w:jc w:val="both"/>
              <w:rPr>
                <w:rFonts w:ascii="Arial" w:eastAsia="Times New Roman" w:hAnsi="Arial" w:cs="Arial"/>
                <w:color w:val="595959" w:themeColor="text1" w:themeTint="A6"/>
                <w:sz w:val="24"/>
                <w:szCs w:val="24"/>
                <w:lang w:eastAsia="es-CO"/>
              </w:rPr>
            </w:pPr>
            <w:r w:rsidRPr="00B57548">
              <w:rPr>
                <w:rFonts w:ascii="Arial" w:eastAsia="Times New Roman" w:hAnsi="Arial" w:cs="Arial"/>
                <w:color w:val="595959" w:themeColor="text1" w:themeTint="A6"/>
                <w:sz w:val="24"/>
                <w:szCs w:val="24"/>
                <w:lang w:eastAsia="es-CO"/>
              </w:rPr>
              <w:t>Apoyo a la gestión institucional del Fondo de Seguridad</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5.642,00</w:t>
            </w:r>
          </w:p>
        </w:tc>
      </w:tr>
      <w:tr w:rsidR="007C5BC7" w:rsidRPr="00B57548" w:rsidTr="00C935B6">
        <w:trPr>
          <w:trHeight w:val="272"/>
        </w:trPr>
        <w:tc>
          <w:tcPr>
            <w:cnfStyle w:val="001000000000" w:firstRow="0" w:lastRow="0" w:firstColumn="1" w:lastColumn="0" w:oddVBand="0" w:evenVBand="0" w:oddHBand="0" w:evenHBand="0" w:firstRowFirstColumn="0" w:firstRowLastColumn="0" w:lastRowFirstColumn="0" w:lastRowLastColumn="0"/>
            <w:tcW w:w="7692" w:type="dxa"/>
            <w:hideMark/>
          </w:tcPr>
          <w:p w:rsidR="007C5BC7" w:rsidRPr="00B57548" w:rsidRDefault="007C5BC7" w:rsidP="00B57548">
            <w:pPr>
              <w:jc w:val="both"/>
              <w:rPr>
                <w:rFonts w:ascii="Arial" w:eastAsia="Times New Roman" w:hAnsi="Arial" w:cs="Arial"/>
                <w:color w:val="595959" w:themeColor="text1" w:themeTint="A6"/>
                <w:sz w:val="24"/>
                <w:szCs w:val="24"/>
                <w:lang w:eastAsia="es-CO"/>
              </w:rPr>
            </w:pPr>
            <w:r w:rsidRPr="00B57548">
              <w:rPr>
                <w:rFonts w:ascii="Arial" w:eastAsia="Times New Roman" w:hAnsi="Arial" w:cs="Arial"/>
                <w:color w:val="595959" w:themeColor="text1" w:themeTint="A6"/>
                <w:sz w:val="24"/>
                <w:szCs w:val="24"/>
                <w:lang w:eastAsia="es-CO"/>
              </w:rPr>
              <w:t>Total inversión</w:t>
            </w:r>
          </w:p>
        </w:tc>
        <w:tc>
          <w:tcPr>
            <w:tcW w:w="1343" w:type="dxa"/>
            <w:hideMark/>
          </w:tcPr>
          <w:p w:rsidR="007C5BC7" w:rsidRPr="00B57548" w:rsidRDefault="007C5BC7" w:rsidP="00B575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B57548">
              <w:rPr>
                <w:rFonts w:ascii="Arial" w:eastAsia="Times New Roman" w:hAnsi="Arial" w:cs="Arial"/>
                <w:color w:val="000000"/>
                <w:sz w:val="24"/>
                <w:szCs w:val="24"/>
                <w:lang w:eastAsia="es-CO"/>
              </w:rPr>
              <w:t xml:space="preserve">    87.756,00 </w:t>
            </w:r>
          </w:p>
        </w:tc>
      </w:tr>
    </w:tbl>
    <w:p w:rsidR="0003456E" w:rsidRPr="00B57548" w:rsidRDefault="0003456E" w:rsidP="00B57548">
      <w:pPr>
        <w:shd w:val="clear" w:color="auto" w:fill="FFFFFF"/>
        <w:spacing w:after="0" w:line="240" w:lineRule="auto"/>
        <w:ind w:left="720"/>
        <w:jc w:val="both"/>
        <w:rPr>
          <w:rFonts w:ascii="Arial" w:eastAsia="Times New Roman" w:hAnsi="Arial" w:cs="Arial"/>
          <w:sz w:val="24"/>
          <w:szCs w:val="24"/>
          <w:lang w:eastAsia="es-CO"/>
        </w:rPr>
      </w:pPr>
    </w:p>
    <w:p w:rsidR="0003456E" w:rsidRPr="00B57548" w:rsidRDefault="0003456E" w:rsidP="00B57548">
      <w:pPr>
        <w:shd w:val="clear" w:color="auto" w:fill="FFFFFF"/>
        <w:spacing w:after="0" w:line="240" w:lineRule="auto"/>
        <w:ind w:left="720"/>
        <w:jc w:val="both"/>
        <w:rPr>
          <w:rFonts w:ascii="Arial" w:eastAsia="Times New Roman" w:hAnsi="Arial" w:cs="Arial"/>
          <w:sz w:val="24"/>
          <w:szCs w:val="24"/>
          <w:lang w:eastAsia="es-CO"/>
        </w:rPr>
      </w:pPr>
    </w:p>
    <w:p w:rsidR="00B57F98" w:rsidRPr="00B57548" w:rsidRDefault="00997554" w:rsidP="00B57548">
      <w:pPr>
        <w:shd w:val="clear" w:color="auto" w:fill="FFFFFF"/>
        <w:spacing w:after="0" w:line="240" w:lineRule="auto"/>
        <w:jc w:val="both"/>
        <w:rPr>
          <w:rFonts w:ascii="Arial" w:eastAsia="Times New Roman" w:hAnsi="Arial" w:cs="Arial"/>
          <w:b/>
          <w:bCs/>
          <w:sz w:val="24"/>
          <w:szCs w:val="24"/>
          <w:lang w:val="es-ES" w:eastAsia="es-CO"/>
        </w:rPr>
      </w:pPr>
      <w:r w:rsidRPr="00B57548">
        <w:rPr>
          <w:rFonts w:ascii="Arial" w:eastAsia="Times New Roman" w:hAnsi="Arial" w:cs="Arial"/>
          <w:b/>
          <w:bCs/>
          <w:color w:val="0070C0"/>
          <w:sz w:val="24"/>
          <w:szCs w:val="24"/>
          <w:lang w:val="es-ES" w:eastAsia="es-CO"/>
        </w:rPr>
        <w:t xml:space="preserve">Línea de inversión 1. </w:t>
      </w:r>
      <w:r w:rsidR="0043629B" w:rsidRPr="00B57548">
        <w:rPr>
          <w:rFonts w:ascii="Arial" w:eastAsia="Times New Roman" w:hAnsi="Arial" w:cs="Arial"/>
          <w:b/>
          <w:bCs/>
          <w:color w:val="404040" w:themeColor="text1" w:themeTint="BF"/>
          <w:sz w:val="24"/>
          <w:szCs w:val="24"/>
          <w:lang w:val="es-ES" w:eastAsia="es-CO"/>
        </w:rPr>
        <w:t>Más y Mejores Policías para Barranquilla</w:t>
      </w:r>
      <w:r w:rsidR="0043629B" w:rsidRPr="00B57548">
        <w:rPr>
          <w:rFonts w:ascii="Arial" w:eastAsia="Times New Roman" w:hAnsi="Arial" w:cs="Arial"/>
          <w:b/>
          <w:bCs/>
          <w:sz w:val="24"/>
          <w:szCs w:val="24"/>
          <w:lang w:val="es-ES" w:eastAsia="es-CO"/>
        </w:rPr>
        <w:t xml:space="preserve">. </w:t>
      </w:r>
    </w:p>
    <w:p w:rsidR="0043629B" w:rsidRPr="00B57548" w:rsidRDefault="0043629B" w:rsidP="00B57548">
      <w:p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bCs/>
          <w:sz w:val="24"/>
          <w:szCs w:val="24"/>
          <w:lang w:val="es-ES" w:eastAsia="es-CO"/>
        </w:rPr>
        <w:t xml:space="preserve">Comparativamente con el 2012, </w:t>
      </w:r>
      <w:r w:rsidR="00997554" w:rsidRPr="00B57548">
        <w:rPr>
          <w:rFonts w:ascii="Arial" w:eastAsia="Times New Roman" w:hAnsi="Arial" w:cs="Arial"/>
          <w:bCs/>
          <w:sz w:val="24"/>
          <w:szCs w:val="24"/>
          <w:lang w:val="es-ES" w:eastAsia="es-CO"/>
        </w:rPr>
        <w:t xml:space="preserve">se incrementó </w:t>
      </w:r>
      <w:r w:rsidRPr="00B57548">
        <w:rPr>
          <w:rFonts w:ascii="Arial" w:eastAsia="Times New Roman" w:hAnsi="Arial" w:cs="Arial"/>
          <w:sz w:val="24"/>
          <w:szCs w:val="24"/>
          <w:lang w:val="es-ES" w:eastAsia="es-CO"/>
        </w:rPr>
        <w:t xml:space="preserve"> significativamente el número de agentes de la policía en la ciudad. Pasamos de 1.9 a 2.7 policías por cada mil habitantes.</w:t>
      </w:r>
      <w:r w:rsidR="00B57F98" w:rsidRPr="00B57548">
        <w:rPr>
          <w:rFonts w:ascii="Arial" w:eastAsia="Times New Roman" w:hAnsi="Arial" w:cs="Arial"/>
          <w:sz w:val="24"/>
          <w:szCs w:val="24"/>
          <w:lang w:val="es-ES" w:eastAsia="es-CO"/>
        </w:rPr>
        <w:t xml:space="preserve"> En números absolutos, se pasó de 3633 policías en el 2012 a 4910 en el 2015.</w:t>
      </w:r>
      <w:r w:rsidR="00C22BB0" w:rsidRPr="00B57548">
        <w:rPr>
          <w:rFonts w:ascii="Arial" w:eastAsia="Times New Roman" w:hAnsi="Arial" w:cs="Arial"/>
          <w:sz w:val="24"/>
          <w:szCs w:val="24"/>
          <w:lang w:val="es-ES" w:eastAsia="es-CO"/>
        </w:rPr>
        <w:t xml:space="preserve"> El número de cu</w:t>
      </w:r>
      <w:r w:rsidR="00B57F98" w:rsidRPr="00B57548">
        <w:rPr>
          <w:rFonts w:ascii="Arial" w:eastAsia="Times New Roman" w:hAnsi="Arial" w:cs="Arial"/>
          <w:sz w:val="24"/>
          <w:szCs w:val="24"/>
          <w:lang w:val="es-ES" w:eastAsia="es-CO"/>
        </w:rPr>
        <w:t xml:space="preserve">adrantes de policía pasa de </w:t>
      </w:r>
      <w:r w:rsidRPr="00B57548">
        <w:rPr>
          <w:rFonts w:ascii="Arial" w:eastAsia="Times New Roman" w:hAnsi="Arial" w:cs="Arial"/>
          <w:sz w:val="24"/>
          <w:szCs w:val="24"/>
          <w:lang w:val="es-ES" w:eastAsia="es-CO"/>
        </w:rPr>
        <w:t xml:space="preserve"> 75</w:t>
      </w:r>
      <w:r w:rsidR="00B57F98" w:rsidRPr="00B57548">
        <w:rPr>
          <w:rFonts w:ascii="Arial" w:eastAsia="Times New Roman" w:hAnsi="Arial" w:cs="Arial"/>
          <w:sz w:val="24"/>
          <w:szCs w:val="24"/>
          <w:lang w:val="es-ES" w:eastAsia="es-CO"/>
        </w:rPr>
        <w:t xml:space="preserve"> en el 2012</w:t>
      </w:r>
      <w:r w:rsidRPr="00B57548">
        <w:rPr>
          <w:rFonts w:ascii="Arial" w:eastAsia="Times New Roman" w:hAnsi="Arial" w:cs="Arial"/>
          <w:sz w:val="24"/>
          <w:szCs w:val="24"/>
          <w:lang w:val="es-ES" w:eastAsia="es-CO"/>
        </w:rPr>
        <w:t xml:space="preserve"> a 180 en el </w:t>
      </w:r>
      <w:r w:rsidR="00B57F98" w:rsidRPr="00B57548">
        <w:rPr>
          <w:rFonts w:ascii="Arial" w:eastAsia="Times New Roman" w:hAnsi="Arial" w:cs="Arial"/>
          <w:sz w:val="24"/>
          <w:szCs w:val="24"/>
          <w:lang w:val="es-ES" w:eastAsia="es-CO"/>
        </w:rPr>
        <w:t>Distrito.</w:t>
      </w:r>
      <w:r w:rsidR="00C22BB0" w:rsidRPr="00B57548">
        <w:rPr>
          <w:rFonts w:ascii="Arial" w:eastAsia="Times New Roman" w:hAnsi="Arial" w:cs="Arial"/>
          <w:sz w:val="24"/>
          <w:szCs w:val="24"/>
          <w:lang w:val="es-ES" w:eastAsia="es-CO"/>
        </w:rPr>
        <w:t xml:space="preserve"> De otro lado, al </w:t>
      </w:r>
      <w:r w:rsidR="00B57F98" w:rsidRPr="00B57548">
        <w:rPr>
          <w:rFonts w:ascii="Arial" w:eastAsia="Times New Roman" w:hAnsi="Arial" w:cs="Arial"/>
          <w:sz w:val="24"/>
          <w:szCs w:val="24"/>
          <w:lang w:eastAsia="es-CO"/>
        </w:rPr>
        <w:t xml:space="preserve">2012 </w:t>
      </w:r>
      <w:r w:rsidR="00C22BB0" w:rsidRPr="00B57548">
        <w:rPr>
          <w:rFonts w:ascii="Arial" w:eastAsia="Times New Roman" w:hAnsi="Arial" w:cs="Arial"/>
          <w:sz w:val="24"/>
          <w:szCs w:val="24"/>
          <w:lang w:eastAsia="es-CO"/>
        </w:rPr>
        <w:t>n</w:t>
      </w:r>
      <w:r w:rsidR="00B57F98" w:rsidRPr="00B57548">
        <w:rPr>
          <w:rFonts w:ascii="Arial" w:eastAsia="Times New Roman" w:hAnsi="Arial" w:cs="Arial"/>
          <w:sz w:val="24"/>
          <w:szCs w:val="24"/>
          <w:lang w:eastAsia="es-CO"/>
        </w:rPr>
        <w:t xml:space="preserve">o se contaba con personal </w:t>
      </w:r>
      <w:r w:rsidR="00465E0C" w:rsidRPr="00B57548">
        <w:rPr>
          <w:rFonts w:ascii="Arial" w:eastAsia="Times New Roman" w:hAnsi="Arial" w:cs="Arial"/>
          <w:sz w:val="24"/>
          <w:szCs w:val="24"/>
          <w:lang w:eastAsia="es-CO"/>
        </w:rPr>
        <w:t>de la policía capacitada</w:t>
      </w:r>
      <w:r w:rsidR="00B57F98" w:rsidRPr="00B57548">
        <w:rPr>
          <w:rFonts w:ascii="Arial" w:eastAsia="Times New Roman" w:hAnsi="Arial" w:cs="Arial"/>
          <w:sz w:val="24"/>
          <w:szCs w:val="24"/>
          <w:lang w:eastAsia="es-CO"/>
        </w:rPr>
        <w:t xml:space="preserve"> en los </w:t>
      </w:r>
      <w:r w:rsidR="00B57F98" w:rsidRPr="00B57548">
        <w:rPr>
          <w:rFonts w:ascii="Arial" w:eastAsia="Times New Roman" w:hAnsi="Arial" w:cs="Arial"/>
          <w:sz w:val="24"/>
          <w:szCs w:val="24"/>
          <w:lang w:val="es-ES" w:eastAsia="es-CO"/>
        </w:rPr>
        <w:t>requerimientos básicos del Sistema Penal Oral Acusatorio, lo que dificultaba judicialización, de tal manera que se</w:t>
      </w:r>
      <w:r w:rsidR="00D1754A" w:rsidRPr="00B57548">
        <w:rPr>
          <w:rFonts w:ascii="Arial" w:eastAsia="Times New Roman" w:hAnsi="Arial" w:cs="Arial"/>
          <w:sz w:val="24"/>
          <w:szCs w:val="24"/>
          <w:lang w:eastAsia="es-CO"/>
        </w:rPr>
        <w:t xml:space="preserve"> capacitaron </w:t>
      </w:r>
      <w:r w:rsidRPr="00B57548">
        <w:rPr>
          <w:rFonts w:ascii="Arial" w:eastAsia="Times New Roman" w:hAnsi="Arial" w:cs="Arial"/>
          <w:sz w:val="24"/>
          <w:szCs w:val="24"/>
          <w:lang w:val="es-ES" w:eastAsia="es-CO"/>
        </w:rPr>
        <w:t xml:space="preserve">3676 policías </w:t>
      </w:r>
      <w:r w:rsidR="00B57F98" w:rsidRPr="00B57548">
        <w:rPr>
          <w:rFonts w:ascii="Arial" w:eastAsia="Times New Roman" w:hAnsi="Arial" w:cs="Arial"/>
          <w:sz w:val="24"/>
          <w:szCs w:val="24"/>
          <w:lang w:val="es-ES" w:eastAsia="es-CO"/>
        </w:rPr>
        <w:t>en este periodo</w:t>
      </w:r>
      <w:r w:rsidRPr="00B57548">
        <w:rPr>
          <w:rFonts w:ascii="Arial" w:eastAsia="Times New Roman" w:hAnsi="Arial" w:cs="Arial"/>
          <w:sz w:val="24"/>
          <w:szCs w:val="24"/>
          <w:lang w:val="es-ES" w:eastAsia="es-CO"/>
        </w:rPr>
        <w:t>.</w:t>
      </w:r>
    </w:p>
    <w:p w:rsidR="0043629B" w:rsidRPr="00B57548" w:rsidRDefault="0043629B" w:rsidP="00B57548">
      <w:pPr>
        <w:shd w:val="clear" w:color="auto" w:fill="FFFFFF"/>
        <w:spacing w:after="0" w:line="240" w:lineRule="auto"/>
        <w:ind w:left="720"/>
        <w:jc w:val="both"/>
        <w:rPr>
          <w:rFonts w:ascii="Arial" w:eastAsia="Times New Roman" w:hAnsi="Arial" w:cs="Arial"/>
          <w:sz w:val="24"/>
          <w:szCs w:val="24"/>
          <w:lang w:eastAsia="es-CO"/>
        </w:rPr>
      </w:pPr>
      <w:r w:rsidRPr="00B57548">
        <w:rPr>
          <w:rFonts w:ascii="Arial" w:eastAsia="Times New Roman" w:hAnsi="Arial" w:cs="Arial"/>
          <w:sz w:val="24"/>
          <w:szCs w:val="24"/>
          <w:lang w:eastAsia="es-CO"/>
        </w:rPr>
        <w:t> </w:t>
      </w:r>
    </w:p>
    <w:p w:rsidR="00B57F98" w:rsidRPr="00B57548" w:rsidRDefault="00997554" w:rsidP="00B57548">
      <w:pPr>
        <w:shd w:val="clear" w:color="auto" w:fill="FFFFFF"/>
        <w:spacing w:after="0" w:line="240" w:lineRule="auto"/>
        <w:jc w:val="both"/>
        <w:rPr>
          <w:rFonts w:ascii="Arial" w:eastAsia="Times New Roman" w:hAnsi="Arial" w:cs="Arial"/>
          <w:b/>
          <w:bCs/>
          <w:sz w:val="24"/>
          <w:szCs w:val="24"/>
          <w:lang w:val="es-ES" w:eastAsia="es-CO"/>
        </w:rPr>
      </w:pPr>
      <w:r w:rsidRPr="00B57548">
        <w:rPr>
          <w:rFonts w:ascii="Arial" w:eastAsia="Times New Roman" w:hAnsi="Arial" w:cs="Arial"/>
          <w:b/>
          <w:bCs/>
          <w:color w:val="0070C0"/>
          <w:sz w:val="24"/>
          <w:szCs w:val="24"/>
          <w:lang w:val="es-ES" w:eastAsia="es-CO"/>
        </w:rPr>
        <w:t>Línea de inversión 2</w:t>
      </w:r>
      <w:r w:rsidRPr="00B57548">
        <w:rPr>
          <w:rFonts w:ascii="Arial" w:eastAsia="Times New Roman" w:hAnsi="Arial" w:cs="Arial"/>
          <w:b/>
          <w:bCs/>
          <w:color w:val="404040" w:themeColor="text1" w:themeTint="BF"/>
          <w:sz w:val="24"/>
          <w:szCs w:val="24"/>
          <w:lang w:val="es-ES" w:eastAsia="es-CO"/>
        </w:rPr>
        <w:t xml:space="preserve">. </w:t>
      </w:r>
      <w:r w:rsidR="0043629B" w:rsidRPr="00B57548">
        <w:rPr>
          <w:rFonts w:ascii="Arial" w:eastAsia="Times New Roman" w:hAnsi="Arial" w:cs="Arial"/>
          <w:b/>
          <w:bCs/>
          <w:color w:val="404040" w:themeColor="text1" w:themeTint="BF"/>
          <w:sz w:val="24"/>
          <w:szCs w:val="24"/>
          <w:lang w:val="es-ES" w:eastAsia="es-CO"/>
        </w:rPr>
        <w:t>Fortalecimiento de los equipamientos de seguridad</w:t>
      </w:r>
      <w:r w:rsidR="00D1754A" w:rsidRPr="00B57548">
        <w:rPr>
          <w:rFonts w:ascii="Arial" w:eastAsia="Times New Roman" w:hAnsi="Arial" w:cs="Arial"/>
          <w:b/>
          <w:bCs/>
          <w:sz w:val="24"/>
          <w:szCs w:val="24"/>
          <w:lang w:val="es-ES" w:eastAsia="es-CO"/>
        </w:rPr>
        <w:t xml:space="preserve">. </w:t>
      </w:r>
    </w:p>
    <w:p w:rsidR="0043629B" w:rsidRPr="00B57548" w:rsidRDefault="00D1754A" w:rsidP="00B57548">
      <w:pPr>
        <w:shd w:val="clear" w:color="auto" w:fill="FFFFFF"/>
        <w:spacing w:after="0" w:line="240" w:lineRule="auto"/>
        <w:jc w:val="both"/>
        <w:rPr>
          <w:rFonts w:ascii="Arial" w:eastAsia="Times New Roman" w:hAnsi="Arial" w:cs="Arial"/>
          <w:sz w:val="24"/>
          <w:szCs w:val="24"/>
          <w:lang w:val="es-ES" w:eastAsia="es-CO"/>
        </w:rPr>
      </w:pPr>
      <w:r w:rsidRPr="00B57548">
        <w:rPr>
          <w:rFonts w:ascii="Arial" w:eastAsia="Times New Roman" w:hAnsi="Arial" w:cs="Arial"/>
          <w:bCs/>
          <w:sz w:val="24"/>
          <w:szCs w:val="24"/>
          <w:lang w:val="es-ES" w:eastAsia="es-CO"/>
        </w:rPr>
        <w:t xml:space="preserve">Se ejecutó el plan de </w:t>
      </w:r>
      <w:r w:rsidR="00B57F98" w:rsidRPr="00B57548">
        <w:rPr>
          <w:rFonts w:ascii="Arial" w:eastAsia="Times New Roman" w:hAnsi="Arial" w:cs="Arial"/>
          <w:bCs/>
          <w:sz w:val="24"/>
          <w:szCs w:val="24"/>
          <w:lang w:val="es-ES" w:eastAsia="es-CO"/>
        </w:rPr>
        <w:t>equipamiento</w:t>
      </w:r>
      <w:r w:rsidRPr="00B57548">
        <w:rPr>
          <w:rFonts w:ascii="Arial" w:eastAsia="Times New Roman" w:hAnsi="Arial" w:cs="Arial"/>
          <w:bCs/>
          <w:sz w:val="24"/>
          <w:szCs w:val="24"/>
          <w:lang w:val="es-ES" w:eastAsia="es-CO"/>
        </w:rPr>
        <w:t xml:space="preserve"> </w:t>
      </w:r>
      <w:r w:rsidR="00B57F98" w:rsidRPr="00B57548">
        <w:rPr>
          <w:rFonts w:ascii="Arial" w:eastAsia="Times New Roman" w:hAnsi="Arial" w:cs="Arial"/>
          <w:bCs/>
          <w:sz w:val="24"/>
          <w:szCs w:val="24"/>
          <w:lang w:val="es-ES" w:eastAsia="es-CO"/>
        </w:rPr>
        <w:t>definido</w:t>
      </w:r>
      <w:r w:rsidRPr="00B57548">
        <w:rPr>
          <w:rFonts w:ascii="Arial" w:eastAsia="Times New Roman" w:hAnsi="Arial" w:cs="Arial"/>
          <w:bCs/>
          <w:sz w:val="24"/>
          <w:szCs w:val="24"/>
          <w:lang w:val="es-ES" w:eastAsia="es-CO"/>
        </w:rPr>
        <w:t xml:space="preserve"> </w:t>
      </w:r>
      <w:r w:rsidR="00C22BB0" w:rsidRPr="00B57548">
        <w:rPr>
          <w:rFonts w:ascii="Arial" w:eastAsia="Times New Roman" w:hAnsi="Arial" w:cs="Arial"/>
          <w:bCs/>
          <w:sz w:val="24"/>
          <w:szCs w:val="24"/>
          <w:lang w:val="es-ES" w:eastAsia="es-CO"/>
        </w:rPr>
        <w:t>para</w:t>
      </w:r>
      <w:r w:rsidRPr="00B57548">
        <w:rPr>
          <w:rFonts w:ascii="Arial" w:eastAsia="Times New Roman" w:hAnsi="Arial" w:cs="Arial"/>
          <w:bCs/>
          <w:sz w:val="24"/>
          <w:szCs w:val="24"/>
          <w:lang w:val="es-ES" w:eastAsia="es-CO"/>
        </w:rPr>
        <w:t xml:space="preserve"> modernizar </w:t>
      </w:r>
      <w:r w:rsidR="0043629B" w:rsidRPr="00B57548">
        <w:rPr>
          <w:rFonts w:ascii="Arial" w:eastAsia="Times New Roman" w:hAnsi="Arial" w:cs="Arial"/>
          <w:sz w:val="24"/>
          <w:szCs w:val="24"/>
          <w:lang w:val="es-ES" w:eastAsia="es-CO"/>
        </w:rPr>
        <w:t>el parque automo</w:t>
      </w:r>
      <w:r w:rsidRPr="00B57548">
        <w:rPr>
          <w:rFonts w:ascii="Arial" w:eastAsia="Times New Roman" w:hAnsi="Arial" w:cs="Arial"/>
          <w:sz w:val="24"/>
          <w:szCs w:val="24"/>
          <w:lang w:val="es-ES" w:eastAsia="es-CO"/>
        </w:rPr>
        <w:t>tor de la Policía Metropolitana</w:t>
      </w:r>
      <w:r w:rsidR="0043629B" w:rsidRPr="00B57548">
        <w:rPr>
          <w:rFonts w:ascii="Arial" w:eastAsia="Times New Roman" w:hAnsi="Arial" w:cs="Arial"/>
          <w:sz w:val="24"/>
          <w:szCs w:val="24"/>
          <w:lang w:val="es-ES" w:eastAsia="es-CO"/>
        </w:rPr>
        <w:t xml:space="preserve"> </w:t>
      </w:r>
      <w:r w:rsidR="00C22BB0" w:rsidRPr="00B57548">
        <w:rPr>
          <w:rFonts w:ascii="Arial" w:eastAsia="Times New Roman" w:hAnsi="Arial" w:cs="Arial"/>
          <w:sz w:val="24"/>
          <w:szCs w:val="24"/>
          <w:lang w:val="es-ES" w:eastAsia="es-CO"/>
        </w:rPr>
        <w:t>así</w:t>
      </w:r>
      <w:r w:rsidRPr="00B57548">
        <w:rPr>
          <w:rFonts w:ascii="Arial" w:eastAsia="Times New Roman" w:hAnsi="Arial" w:cs="Arial"/>
          <w:sz w:val="24"/>
          <w:szCs w:val="24"/>
          <w:lang w:val="es-ES" w:eastAsia="es-CO"/>
        </w:rPr>
        <w:t xml:space="preserve">: </w:t>
      </w:r>
    </w:p>
    <w:p w:rsidR="0043629B" w:rsidRPr="00B57548" w:rsidRDefault="00FC12DA" w:rsidP="00B57548">
      <w:pPr>
        <w:pStyle w:val="Prrafodelista"/>
        <w:numPr>
          <w:ilvl w:val="0"/>
          <w:numId w:val="12"/>
        </w:num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eastAsia="es-CO"/>
        </w:rPr>
        <w:t>P</w:t>
      </w:r>
      <w:r w:rsidR="00B57F98" w:rsidRPr="00B57548">
        <w:rPr>
          <w:rFonts w:ascii="Arial" w:eastAsia="Times New Roman" w:hAnsi="Arial" w:cs="Arial"/>
          <w:sz w:val="24"/>
          <w:szCs w:val="24"/>
          <w:lang w:eastAsia="es-CO"/>
        </w:rPr>
        <w:t xml:space="preserve">asando </w:t>
      </w:r>
      <w:r w:rsidRPr="00B57548">
        <w:rPr>
          <w:rFonts w:ascii="Arial" w:eastAsia="Times New Roman" w:hAnsi="Arial" w:cs="Arial"/>
          <w:sz w:val="24"/>
          <w:szCs w:val="24"/>
          <w:lang w:eastAsia="es-CO"/>
        </w:rPr>
        <w:t xml:space="preserve">la MEBAR </w:t>
      </w:r>
      <w:r w:rsidR="00B57F98" w:rsidRPr="00B57548">
        <w:rPr>
          <w:rFonts w:ascii="Arial" w:eastAsia="Times New Roman" w:hAnsi="Arial" w:cs="Arial"/>
          <w:sz w:val="24"/>
          <w:szCs w:val="24"/>
          <w:lang w:eastAsia="es-CO"/>
        </w:rPr>
        <w:t>de 64 a 115 c</w:t>
      </w:r>
      <w:r w:rsidRPr="00B57548">
        <w:rPr>
          <w:rFonts w:ascii="Arial" w:eastAsia="Times New Roman" w:hAnsi="Arial" w:cs="Arial"/>
          <w:sz w:val="24"/>
          <w:szCs w:val="24"/>
          <w:lang w:val="es-ES" w:eastAsia="es-CO"/>
        </w:rPr>
        <w:t>camionetas</w:t>
      </w:r>
      <w:r w:rsidR="0043629B" w:rsidRPr="00B57548">
        <w:rPr>
          <w:rFonts w:ascii="Arial" w:eastAsia="Times New Roman" w:hAnsi="Arial" w:cs="Arial"/>
          <w:sz w:val="24"/>
          <w:szCs w:val="24"/>
          <w:lang w:val="es-ES" w:eastAsia="es-CO"/>
        </w:rPr>
        <w:t xml:space="preserve"> con dotación tecnológica</w:t>
      </w:r>
      <w:r w:rsidRPr="00B57548">
        <w:rPr>
          <w:rFonts w:ascii="Arial" w:eastAsia="Times New Roman" w:hAnsi="Arial" w:cs="Arial"/>
          <w:sz w:val="24"/>
          <w:szCs w:val="24"/>
          <w:lang w:val="es-ES" w:eastAsia="es-CO"/>
        </w:rPr>
        <w:t xml:space="preserve"> entregadas por el Distrito, y 42 más entregadas en coordinación con el Departamento.</w:t>
      </w:r>
    </w:p>
    <w:p w:rsidR="0043629B" w:rsidRPr="00B57548" w:rsidRDefault="0043629B" w:rsidP="00B57548">
      <w:pPr>
        <w:pStyle w:val="Prrafodelista"/>
        <w:numPr>
          <w:ilvl w:val="0"/>
          <w:numId w:val="12"/>
        </w:num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val="es-ES" w:eastAsia="es-CO"/>
        </w:rPr>
        <w:t>476 Nuevas motocicletas en coordinación con la Gobernación del Atlántico</w:t>
      </w:r>
    </w:p>
    <w:p w:rsidR="0043629B" w:rsidRPr="00B57548" w:rsidRDefault="0043629B" w:rsidP="00B57548">
      <w:pPr>
        <w:pStyle w:val="Prrafodelista"/>
        <w:numPr>
          <w:ilvl w:val="0"/>
          <w:numId w:val="12"/>
        </w:num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val="es-ES" w:eastAsia="es-CO"/>
        </w:rPr>
        <w:t>3 Nuevos CAI móviles.</w:t>
      </w:r>
    </w:p>
    <w:p w:rsidR="00FC12DA" w:rsidRPr="00B57548" w:rsidRDefault="00465E0C" w:rsidP="00B57548">
      <w:pPr>
        <w:pStyle w:val="Prrafodelista"/>
        <w:numPr>
          <w:ilvl w:val="0"/>
          <w:numId w:val="12"/>
        </w:num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eastAsia="es-CO"/>
        </w:rPr>
        <w:t>2 laboratorios móviles</w:t>
      </w:r>
      <w:r w:rsidR="00FC12DA" w:rsidRPr="00B57548">
        <w:rPr>
          <w:rFonts w:ascii="Arial" w:eastAsia="Times New Roman" w:hAnsi="Arial" w:cs="Arial"/>
          <w:sz w:val="24"/>
          <w:szCs w:val="24"/>
          <w:lang w:eastAsia="es-CO"/>
        </w:rPr>
        <w:t xml:space="preserve"> de criminalística en coordinación con la Gobernación.</w:t>
      </w:r>
    </w:p>
    <w:p w:rsidR="0043629B" w:rsidRPr="00B57548" w:rsidRDefault="00B1321C" w:rsidP="00B57548">
      <w:pPr>
        <w:pStyle w:val="Prrafodelista"/>
        <w:numPr>
          <w:ilvl w:val="0"/>
          <w:numId w:val="12"/>
        </w:num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eastAsia="es-CO"/>
        </w:rPr>
        <w:t xml:space="preserve">Y el </w:t>
      </w:r>
      <w:r w:rsidR="00D1754A" w:rsidRPr="00B57548">
        <w:rPr>
          <w:rFonts w:ascii="Arial" w:eastAsia="Times New Roman" w:hAnsi="Arial" w:cs="Arial"/>
          <w:sz w:val="24"/>
          <w:szCs w:val="24"/>
          <w:lang w:val="es-ES" w:eastAsia="es-CO"/>
        </w:rPr>
        <w:t>Su</w:t>
      </w:r>
      <w:r w:rsidR="0043629B" w:rsidRPr="00B57548">
        <w:rPr>
          <w:rFonts w:ascii="Arial" w:eastAsia="Times New Roman" w:hAnsi="Arial" w:cs="Arial"/>
          <w:sz w:val="24"/>
          <w:szCs w:val="24"/>
          <w:lang w:val="es-ES" w:eastAsia="es-CO"/>
        </w:rPr>
        <w:t xml:space="preserve">ministro </w:t>
      </w:r>
      <w:r w:rsidR="00D1754A" w:rsidRPr="00B57548">
        <w:rPr>
          <w:rFonts w:ascii="Arial" w:eastAsia="Times New Roman" w:hAnsi="Arial" w:cs="Arial"/>
          <w:sz w:val="24"/>
          <w:szCs w:val="24"/>
          <w:lang w:val="es-ES" w:eastAsia="es-CO"/>
        </w:rPr>
        <w:t xml:space="preserve">permanente </w:t>
      </w:r>
      <w:r w:rsidR="0043629B" w:rsidRPr="00B57548">
        <w:rPr>
          <w:rFonts w:ascii="Arial" w:eastAsia="Times New Roman" w:hAnsi="Arial" w:cs="Arial"/>
          <w:sz w:val="24"/>
          <w:szCs w:val="24"/>
          <w:lang w:val="es-ES" w:eastAsia="es-CO"/>
        </w:rPr>
        <w:t>de combustible y mantenimiento del parque automotor.</w:t>
      </w:r>
    </w:p>
    <w:p w:rsidR="0043629B" w:rsidRDefault="0043629B" w:rsidP="00B57548">
      <w:pPr>
        <w:shd w:val="clear" w:color="auto" w:fill="FFFFFF"/>
        <w:spacing w:after="0" w:line="240" w:lineRule="auto"/>
        <w:ind w:left="720"/>
        <w:jc w:val="both"/>
        <w:rPr>
          <w:rFonts w:ascii="Arial" w:eastAsia="Times New Roman" w:hAnsi="Arial" w:cs="Arial"/>
          <w:b/>
          <w:bCs/>
          <w:sz w:val="24"/>
          <w:szCs w:val="24"/>
          <w:lang w:val="es-ES" w:eastAsia="es-CO"/>
        </w:rPr>
      </w:pPr>
    </w:p>
    <w:p w:rsidR="00B57548" w:rsidRDefault="00B57548" w:rsidP="00B57548">
      <w:pPr>
        <w:shd w:val="clear" w:color="auto" w:fill="FFFFFF"/>
        <w:spacing w:after="0" w:line="240" w:lineRule="auto"/>
        <w:ind w:left="720"/>
        <w:jc w:val="both"/>
        <w:rPr>
          <w:rFonts w:ascii="Arial" w:eastAsia="Times New Roman" w:hAnsi="Arial" w:cs="Arial"/>
          <w:b/>
          <w:bCs/>
          <w:sz w:val="24"/>
          <w:szCs w:val="24"/>
          <w:lang w:val="es-ES" w:eastAsia="es-CO"/>
        </w:rPr>
      </w:pPr>
    </w:p>
    <w:p w:rsidR="00B57548" w:rsidRPr="00B57548" w:rsidRDefault="00B57548" w:rsidP="00B57548">
      <w:pPr>
        <w:shd w:val="clear" w:color="auto" w:fill="FFFFFF"/>
        <w:spacing w:after="0" w:line="240" w:lineRule="auto"/>
        <w:ind w:left="720"/>
        <w:jc w:val="both"/>
        <w:rPr>
          <w:rFonts w:ascii="Arial" w:eastAsia="Times New Roman" w:hAnsi="Arial" w:cs="Arial"/>
          <w:b/>
          <w:bCs/>
          <w:sz w:val="24"/>
          <w:szCs w:val="24"/>
          <w:lang w:val="es-ES" w:eastAsia="es-CO"/>
        </w:rPr>
      </w:pPr>
    </w:p>
    <w:p w:rsidR="0043629B" w:rsidRPr="00B57548" w:rsidRDefault="00997554" w:rsidP="00B57548">
      <w:p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b/>
          <w:bCs/>
          <w:color w:val="0070C0"/>
          <w:sz w:val="24"/>
          <w:szCs w:val="24"/>
          <w:lang w:val="es-ES" w:eastAsia="es-CO"/>
        </w:rPr>
        <w:lastRenderedPageBreak/>
        <w:t>Línea de inversión 3</w:t>
      </w:r>
      <w:r w:rsidRPr="00B57548">
        <w:rPr>
          <w:rFonts w:ascii="Arial" w:eastAsia="Times New Roman" w:hAnsi="Arial" w:cs="Arial"/>
          <w:b/>
          <w:bCs/>
          <w:sz w:val="24"/>
          <w:szCs w:val="24"/>
          <w:lang w:val="es-ES" w:eastAsia="es-CO"/>
        </w:rPr>
        <w:t xml:space="preserve">. </w:t>
      </w:r>
      <w:r w:rsidR="0043629B" w:rsidRPr="00B57548">
        <w:rPr>
          <w:rFonts w:ascii="Arial" w:eastAsia="Times New Roman" w:hAnsi="Arial" w:cs="Arial"/>
          <w:b/>
          <w:bCs/>
          <w:sz w:val="24"/>
          <w:szCs w:val="24"/>
          <w:lang w:val="es-ES" w:eastAsia="es-CO"/>
        </w:rPr>
        <w:t>Infraestructura para la Seguridad</w:t>
      </w:r>
    </w:p>
    <w:p w:rsidR="0043629B" w:rsidRPr="00B57548" w:rsidRDefault="00B1321C" w:rsidP="00B57548">
      <w:pPr>
        <w:shd w:val="clear" w:color="auto" w:fill="FFFFFF"/>
        <w:spacing w:after="0" w:line="240" w:lineRule="auto"/>
        <w:jc w:val="both"/>
        <w:rPr>
          <w:rFonts w:ascii="Arial" w:eastAsia="Times New Roman" w:hAnsi="Arial" w:cs="Arial"/>
          <w:sz w:val="24"/>
          <w:szCs w:val="24"/>
          <w:lang w:val="es-ES" w:eastAsia="es-CO"/>
        </w:rPr>
      </w:pPr>
      <w:r w:rsidRPr="00B57548">
        <w:rPr>
          <w:rFonts w:ascii="Arial" w:eastAsia="Times New Roman" w:hAnsi="Arial" w:cs="Arial"/>
          <w:sz w:val="24"/>
          <w:szCs w:val="24"/>
          <w:lang w:val="es-ES" w:eastAsia="es-CO"/>
        </w:rPr>
        <w:t>Se construyeron</w:t>
      </w:r>
      <w:r w:rsidR="0043629B" w:rsidRPr="00B57548">
        <w:rPr>
          <w:rFonts w:ascii="Arial" w:eastAsia="Times New Roman" w:hAnsi="Arial" w:cs="Arial"/>
          <w:sz w:val="24"/>
          <w:szCs w:val="24"/>
          <w:lang w:val="es-ES" w:eastAsia="es-CO"/>
        </w:rPr>
        <w:t xml:space="preserve"> dos nuevas Estaciones de Policía  </w:t>
      </w:r>
      <w:r w:rsidRPr="00B57548">
        <w:rPr>
          <w:rFonts w:ascii="Arial" w:eastAsia="Times New Roman" w:hAnsi="Arial" w:cs="Arial"/>
          <w:sz w:val="24"/>
          <w:szCs w:val="24"/>
          <w:lang w:val="es-ES" w:eastAsia="es-CO"/>
        </w:rPr>
        <w:t>en</w:t>
      </w:r>
      <w:r w:rsidR="0043629B" w:rsidRPr="00B57548">
        <w:rPr>
          <w:rFonts w:ascii="Arial" w:eastAsia="Times New Roman" w:hAnsi="Arial" w:cs="Arial"/>
          <w:sz w:val="24"/>
          <w:szCs w:val="24"/>
          <w:lang w:val="es-ES" w:eastAsia="es-CO"/>
        </w:rPr>
        <w:t xml:space="preserve"> los barrios Simón Bolívar,  San José y la Ciudadela 20 de Julio.</w:t>
      </w:r>
      <w:r w:rsidR="00C22BB0" w:rsidRPr="00B57548">
        <w:rPr>
          <w:rFonts w:ascii="Arial" w:eastAsia="Times New Roman" w:hAnsi="Arial" w:cs="Arial"/>
          <w:sz w:val="24"/>
          <w:szCs w:val="24"/>
          <w:lang w:val="es-ES" w:eastAsia="es-CO"/>
        </w:rPr>
        <w:t xml:space="preserve"> </w:t>
      </w:r>
      <w:r w:rsidRPr="00B57548">
        <w:rPr>
          <w:rFonts w:ascii="Arial" w:eastAsia="Times New Roman" w:hAnsi="Arial" w:cs="Arial"/>
          <w:sz w:val="24"/>
          <w:szCs w:val="24"/>
          <w:lang w:val="es-ES" w:eastAsia="es-CO"/>
        </w:rPr>
        <w:t xml:space="preserve">SE construyó y doto </w:t>
      </w:r>
      <w:r w:rsidR="0043629B" w:rsidRPr="00B57548">
        <w:rPr>
          <w:rFonts w:ascii="Arial" w:eastAsia="Times New Roman" w:hAnsi="Arial" w:cs="Arial"/>
          <w:sz w:val="24"/>
          <w:szCs w:val="24"/>
          <w:lang w:val="es-ES" w:eastAsia="es-CO"/>
        </w:rPr>
        <w:t xml:space="preserve">un moderno Laboratorio de Criminalística y la Sala de Interceptación para labores de Policía Judicial que prestará servicios a toda la región caribe. </w:t>
      </w:r>
      <w:r w:rsidRPr="00B57548">
        <w:rPr>
          <w:rFonts w:ascii="Arial" w:eastAsia="Times New Roman" w:hAnsi="Arial" w:cs="Arial"/>
          <w:sz w:val="24"/>
          <w:szCs w:val="24"/>
          <w:lang w:val="es-ES" w:eastAsia="es-CO"/>
        </w:rPr>
        <w:t xml:space="preserve">Se adecuó </w:t>
      </w:r>
      <w:r w:rsidR="0043629B" w:rsidRPr="00B57548">
        <w:rPr>
          <w:rFonts w:ascii="Arial" w:eastAsia="Times New Roman" w:hAnsi="Arial" w:cs="Arial"/>
          <w:sz w:val="24"/>
          <w:szCs w:val="24"/>
          <w:lang w:val="es-ES" w:eastAsia="es-CO"/>
        </w:rPr>
        <w:t>una zona de alojamiento para los soldados de la Segunda Brigada en el Batallón Paraíso.</w:t>
      </w:r>
    </w:p>
    <w:p w:rsidR="00B1321C" w:rsidRPr="00B57548" w:rsidRDefault="00B1321C" w:rsidP="00B57548">
      <w:pPr>
        <w:shd w:val="clear" w:color="auto" w:fill="FFFFFF"/>
        <w:spacing w:after="0" w:line="240" w:lineRule="auto"/>
        <w:jc w:val="both"/>
        <w:rPr>
          <w:rFonts w:ascii="Arial" w:eastAsia="Times New Roman" w:hAnsi="Arial" w:cs="Arial"/>
          <w:sz w:val="24"/>
          <w:szCs w:val="24"/>
          <w:lang w:eastAsia="es-CO"/>
        </w:rPr>
      </w:pPr>
    </w:p>
    <w:p w:rsidR="0043629B" w:rsidRPr="00B57548" w:rsidRDefault="0043629B" w:rsidP="00B57548">
      <w:p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val="es-ES" w:eastAsia="es-CO"/>
        </w:rPr>
        <w:t>Actualmente se han entregado 11 nuevos CAI de Policía, y con la Gobernación se gestionaron recursos para la adecuación y mantenimiento general de todos los CAI y Estaciones del Área Metropolitana de Barranquilla.</w:t>
      </w:r>
    </w:p>
    <w:p w:rsidR="0043629B" w:rsidRPr="00B57548" w:rsidRDefault="0043629B" w:rsidP="00B57548">
      <w:pPr>
        <w:shd w:val="clear" w:color="auto" w:fill="FFFFFF"/>
        <w:spacing w:after="0" w:line="240" w:lineRule="auto"/>
        <w:jc w:val="both"/>
        <w:rPr>
          <w:rFonts w:ascii="Arial" w:eastAsia="Times New Roman" w:hAnsi="Arial" w:cs="Arial"/>
          <w:b/>
          <w:bCs/>
          <w:sz w:val="24"/>
          <w:szCs w:val="24"/>
          <w:lang w:eastAsia="es-CO"/>
        </w:rPr>
      </w:pPr>
    </w:p>
    <w:p w:rsidR="0043629B" w:rsidRPr="00B57548" w:rsidRDefault="00E16FA4" w:rsidP="00B57548">
      <w:pPr>
        <w:shd w:val="clear" w:color="auto" w:fill="FFFFFF"/>
        <w:spacing w:after="0" w:line="240" w:lineRule="auto"/>
        <w:jc w:val="both"/>
        <w:rPr>
          <w:rFonts w:ascii="Arial" w:eastAsia="Times New Roman" w:hAnsi="Arial" w:cs="Arial"/>
          <w:b/>
          <w:bCs/>
          <w:sz w:val="24"/>
          <w:szCs w:val="24"/>
          <w:lang w:val="es-ES" w:eastAsia="es-CO"/>
        </w:rPr>
      </w:pPr>
      <w:r w:rsidRPr="00B57548">
        <w:rPr>
          <w:rFonts w:ascii="Arial" w:eastAsia="Times New Roman" w:hAnsi="Arial" w:cs="Arial"/>
          <w:b/>
          <w:bCs/>
          <w:color w:val="0070C0"/>
          <w:sz w:val="24"/>
          <w:szCs w:val="24"/>
          <w:lang w:val="es-ES" w:eastAsia="es-CO"/>
        </w:rPr>
        <w:t>Línea de inversión 4</w:t>
      </w:r>
      <w:r w:rsidRPr="00B57548">
        <w:rPr>
          <w:rFonts w:ascii="Arial" w:eastAsia="Times New Roman" w:hAnsi="Arial" w:cs="Arial"/>
          <w:b/>
          <w:bCs/>
          <w:sz w:val="24"/>
          <w:szCs w:val="24"/>
          <w:lang w:val="es-ES" w:eastAsia="es-CO"/>
        </w:rPr>
        <w:t xml:space="preserve">. </w:t>
      </w:r>
      <w:r w:rsidR="0043629B" w:rsidRPr="00B57548">
        <w:rPr>
          <w:rFonts w:ascii="Arial" w:eastAsia="Times New Roman" w:hAnsi="Arial" w:cs="Arial"/>
          <w:b/>
          <w:bCs/>
          <w:sz w:val="24"/>
          <w:szCs w:val="24"/>
          <w:lang w:val="es-ES" w:eastAsia="es-CO"/>
        </w:rPr>
        <w:t>Tecnología para la prevención del delito</w:t>
      </w:r>
    </w:p>
    <w:p w:rsidR="00B1321C" w:rsidRPr="00B57548" w:rsidRDefault="0043629B" w:rsidP="00B57548">
      <w:pPr>
        <w:widowControl w:val="0"/>
        <w:overflowPunct w:val="0"/>
        <w:autoSpaceDE w:val="0"/>
        <w:autoSpaceDN w:val="0"/>
        <w:adjustRightInd w:val="0"/>
        <w:spacing w:after="0" w:line="240" w:lineRule="auto"/>
        <w:jc w:val="both"/>
        <w:rPr>
          <w:rFonts w:ascii="Arial" w:hAnsi="Arial" w:cs="Arial"/>
          <w:sz w:val="24"/>
          <w:szCs w:val="24"/>
        </w:rPr>
      </w:pPr>
      <w:r w:rsidRPr="00B57548">
        <w:rPr>
          <w:rFonts w:ascii="Arial" w:hAnsi="Arial" w:cs="Arial"/>
          <w:sz w:val="24"/>
          <w:szCs w:val="24"/>
        </w:rPr>
        <w:t>Hoy la ciudad</w:t>
      </w:r>
      <w:r w:rsidRPr="00B57548">
        <w:rPr>
          <w:rFonts w:ascii="Arial" w:hAnsi="Arial" w:cs="Arial"/>
          <w:bCs/>
          <w:sz w:val="24"/>
          <w:szCs w:val="24"/>
        </w:rPr>
        <w:t xml:space="preserve"> </w:t>
      </w:r>
      <w:r w:rsidRPr="00B57548">
        <w:rPr>
          <w:rFonts w:ascii="Arial" w:hAnsi="Arial" w:cs="Arial"/>
          <w:sz w:val="24"/>
          <w:szCs w:val="24"/>
        </w:rPr>
        <w:t xml:space="preserve">dispone de un sistema de videocámaras que pasó de 80 </w:t>
      </w:r>
      <w:r w:rsidR="00B1321C" w:rsidRPr="00B57548">
        <w:rPr>
          <w:rFonts w:ascii="Arial" w:hAnsi="Arial" w:cs="Arial"/>
          <w:sz w:val="24"/>
          <w:szCs w:val="24"/>
        </w:rPr>
        <w:t xml:space="preserve">dispositivos en el 2012 </w:t>
      </w:r>
      <w:r w:rsidRPr="00B57548">
        <w:rPr>
          <w:rFonts w:ascii="Arial" w:hAnsi="Arial" w:cs="Arial"/>
          <w:sz w:val="24"/>
          <w:szCs w:val="24"/>
        </w:rPr>
        <w:t xml:space="preserve"> a disponer de 2</w:t>
      </w:r>
      <w:r w:rsidR="00845460" w:rsidRPr="00B57548">
        <w:rPr>
          <w:rFonts w:ascii="Arial" w:hAnsi="Arial" w:cs="Arial"/>
          <w:sz w:val="24"/>
          <w:szCs w:val="24"/>
        </w:rPr>
        <w:t>76</w:t>
      </w:r>
      <w:r w:rsidRPr="00B57548">
        <w:rPr>
          <w:rFonts w:ascii="Arial" w:hAnsi="Arial" w:cs="Arial"/>
          <w:sz w:val="24"/>
          <w:szCs w:val="24"/>
        </w:rPr>
        <w:t xml:space="preserve"> cámaras completamente digitalizadas, </w:t>
      </w:r>
      <w:r w:rsidR="00B1321C" w:rsidRPr="00B57548">
        <w:rPr>
          <w:rFonts w:ascii="Arial" w:hAnsi="Arial" w:cs="Arial"/>
          <w:sz w:val="24"/>
          <w:szCs w:val="24"/>
        </w:rPr>
        <w:t xml:space="preserve">de las cuales 43 </w:t>
      </w:r>
      <w:r w:rsidRPr="00B57548">
        <w:rPr>
          <w:rFonts w:ascii="Arial" w:hAnsi="Arial" w:cs="Arial"/>
          <w:sz w:val="24"/>
          <w:szCs w:val="24"/>
        </w:rPr>
        <w:t xml:space="preserve">cámaras </w:t>
      </w:r>
      <w:r w:rsidR="00B1321C" w:rsidRPr="00B57548">
        <w:rPr>
          <w:rFonts w:ascii="Arial" w:hAnsi="Arial" w:cs="Arial"/>
          <w:sz w:val="24"/>
          <w:szCs w:val="24"/>
        </w:rPr>
        <w:t xml:space="preserve">son analíticas para </w:t>
      </w:r>
      <w:r w:rsidRPr="00B57548">
        <w:rPr>
          <w:rFonts w:ascii="Arial" w:hAnsi="Arial" w:cs="Arial"/>
          <w:sz w:val="24"/>
          <w:szCs w:val="24"/>
        </w:rPr>
        <w:t xml:space="preserve">lectura de placas </w:t>
      </w:r>
      <w:r w:rsidR="003879B6" w:rsidRPr="00B57548">
        <w:rPr>
          <w:rFonts w:ascii="Arial" w:eastAsia="Times New Roman" w:hAnsi="Arial" w:cs="Arial"/>
          <w:sz w:val="24"/>
          <w:szCs w:val="24"/>
          <w:lang w:val="es-ES" w:eastAsia="es-CO"/>
        </w:rPr>
        <w:t>en 27 puntos estratégicamente ubicados, y un sistema de monitoreo en tiempo real en el Estadio Metropolitano de Barranquilla con 114 cámaras.</w:t>
      </w:r>
      <w:r w:rsidRPr="00B57548">
        <w:rPr>
          <w:rFonts w:ascii="Arial" w:hAnsi="Arial" w:cs="Arial"/>
          <w:sz w:val="24"/>
          <w:szCs w:val="24"/>
        </w:rPr>
        <w:t xml:space="preserve"> </w:t>
      </w:r>
      <w:r w:rsidR="00B1321C" w:rsidRPr="00B57548">
        <w:rPr>
          <w:rFonts w:ascii="Arial" w:hAnsi="Arial" w:cs="Arial"/>
          <w:sz w:val="24"/>
          <w:szCs w:val="24"/>
        </w:rPr>
        <w:t xml:space="preserve">Se diseñó el proyecto de ampliación de video vigilancia y ampliación de cobertura total para el Distrito logrando la priorización de inversión por el Ministerio del Interior </w:t>
      </w:r>
      <w:r w:rsidR="00DA4B55" w:rsidRPr="00B57548">
        <w:rPr>
          <w:rFonts w:ascii="Arial" w:hAnsi="Arial" w:cs="Arial"/>
          <w:sz w:val="24"/>
          <w:szCs w:val="24"/>
        </w:rPr>
        <w:t>y FONSECON</w:t>
      </w:r>
      <w:r w:rsidR="00B1321C" w:rsidRPr="00B57548">
        <w:rPr>
          <w:rFonts w:ascii="Arial" w:hAnsi="Arial" w:cs="Arial"/>
          <w:sz w:val="24"/>
          <w:szCs w:val="24"/>
        </w:rPr>
        <w:t>. Se está en etapa de viabilización.</w:t>
      </w:r>
      <w:r w:rsidRPr="00B57548">
        <w:rPr>
          <w:rFonts w:ascii="Arial" w:hAnsi="Arial" w:cs="Arial"/>
          <w:sz w:val="24"/>
          <w:szCs w:val="24"/>
        </w:rPr>
        <w:t xml:space="preserve"> </w:t>
      </w:r>
    </w:p>
    <w:p w:rsidR="003879B6" w:rsidRPr="00B57548" w:rsidRDefault="003879B6" w:rsidP="00B57548">
      <w:pPr>
        <w:widowControl w:val="0"/>
        <w:overflowPunct w:val="0"/>
        <w:autoSpaceDE w:val="0"/>
        <w:autoSpaceDN w:val="0"/>
        <w:adjustRightInd w:val="0"/>
        <w:spacing w:after="0" w:line="240" w:lineRule="auto"/>
        <w:jc w:val="both"/>
        <w:rPr>
          <w:rFonts w:ascii="Arial" w:eastAsia="Times New Roman" w:hAnsi="Arial" w:cs="Arial"/>
          <w:sz w:val="24"/>
          <w:szCs w:val="24"/>
          <w:lang w:val="es-ES" w:eastAsia="es-CO"/>
        </w:rPr>
      </w:pPr>
    </w:p>
    <w:p w:rsidR="0043629B" w:rsidRPr="00B57548" w:rsidRDefault="0043629B" w:rsidP="00B57548">
      <w:pPr>
        <w:widowControl w:val="0"/>
        <w:overflowPunct w:val="0"/>
        <w:autoSpaceDE w:val="0"/>
        <w:autoSpaceDN w:val="0"/>
        <w:adjustRightInd w:val="0"/>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val="es-ES" w:eastAsia="es-CO"/>
        </w:rPr>
        <w:t xml:space="preserve">Igualmente </w:t>
      </w:r>
      <w:r w:rsidR="00B1321C" w:rsidRPr="00B57548">
        <w:rPr>
          <w:rFonts w:ascii="Arial" w:eastAsia="Times New Roman" w:hAnsi="Arial" w:cs="Arial"/>
          <w:sz w:val="24"/>
          <w:szCs w:val="24"/>
          <w:lang w:val="es-ES" w:eastAsia="es-CO"/>
        </w:rPr>
        <w:t>se amplió</w:t>
      </w:r>
      <w:r w:rsidRPr="00B57548">
        <w:rPr>
          <w:rFonts w:ascii="Arial" w:eastAsia="Times New Roman" w:hAnsi="Arial" w:cs="Arial"/>
          <w:sz w:val="24"/>
          <w:szCs w:val="24"/>
          <w:lang w:val="es-ES" w:eastAsia="es-CO"/>
        </w:rPr>
        <w:t xml:space="preserve"> la capacidad de alm</w:t>
      </w:r>
      <w:r w:rsidR="00B1321C" w:rsidRPr="00B57548">
        <w:rPr>
          <w:rFonts w:ascii="Arial" w:eastAsia="Times New Roman" w:hAnsi="Arial" w:cs="Arial"/>
          <w:sz w:val="24"/>
          <w:szCs w:val="24"/>
          <w:lang w:val="es-ES" w:eastAsia="es-CO"/>
        </w:rPr>
        <w:t xml:space="preserve">acenamiento y monitoreo del CAD; se amplió la </w:t>
      </w:r>
      <w:r w:rsidRPr="00B57548">
        <w:rPr>
          <w:rFonts w:ascii="Arial" w:eastAsia="Times New Roman" w:hAnsi="Arial" w:cs="Arial"/>
          <w:sz w:val="24"/>
          <w:szCs w:val="24"/>
          <w:lang w:eastAsia="es-CO"/>
        </w:rPr>
        <w:t>cobertura del Sistema de Comunicación con suministro de Avantel y pago de servicios para la Policía, Ejército y Redes de Cooperación Ciudadana</w:t>
      </w:r>
      <w:r w:rsidR="00B1321C" w:rsidRPr="00B57548">
        <w:rPr>
          <w:rFonts w:ascii="Arial" w:eastAsia="Times New Roman" w:hAnsi="Arial" w:cs="Arial"/>
          <w:sz w:val="24"/>
          <w:szCs w:val="24"/>
          <w:lang w:eastAsia="es-CO"/>
        </w:rPr>
        <w:t>.</w:t>
      </w:r>
      <w:r w:rsidRPr="00B57548">
        <w:rPr>
          <w:rFonts w:ascii="Arial" w:eastAsia="Times New Roman" w:hAnsi="Arial" w:cs="Arial"/>
          <w:sz w:val="24"/>
          <w:szCs w:val="24"/>
          <w:lang w:eastAsia="es-CO"/>
        </w:rPr>
        <w:t xml:space="preserve"> </w:t>
      </w:r>
    </w:p>
    <w:p w:rsidR="0043629B" w:rsidRPr="00B57548" w:rsidRDefault="0043629B" w:rsidP="00B57548">
      <w:pPr>
        <w:widowControl w:val="0"/>
        <w:overflowPunct w:val="0"/>
        <w:autoSpaceDE w:val="0"/>
        <w:autoSpaceDN w:val="0"/>
        <w:adjustRightInd w:val="0"/>
        <w:spacing w:after="0" w:line="240" w:lineRule="auto"/>
        <w:jc w:val="both"/>
        <w:rPr>
          <w:rFonts w:ascii="Arial" w:eastAsia="Times New Roman" w:hAnsi="Arial" w:cs="Arial"/>
          <w:sz w:val="24"/>
          <w:szCs w:val="24"/>
          <w:lang w:val="es-ES" w:eastAsia="es-CO"/>
        </w:rPr>
      </w:pPr>
    </w:p>
    <w:p w:rsidR="0043629B" w:rsidRPr="00B57548" w:rsidRDefault="00E16FA4" w:rsidP="00B57548">
      <w:pPr>
        <w:widowControl w:val="0"/>
        <w:overflowPunct w:val="0"/>
        <w:autoSpaceDE w:val="0"/>
        <w:autoSpaceDN w:val="0"/>
        <w:adjustRightInd w:val="0"/>
        <w:spacing w:after="0" w:line="240" w:lineRule="auto"/>
        <w:jc w:val="both"/>
        <w:rPr>
          <w:rFonts w:ascii="Arial" w:eastAsia="Times New Roman" w:hAnsi="Arial" w:cs="Arial"/>
          <w:sz w:val="24"/>
          <w:szCs w:val="24"/>
          <w:lang w:eastAsia="es-CO"/>
        </w:rPr>
      </w:pPr>
      <w:r w:rsidRPr="00B57548">
        <w:rPr>
          <w:rFonts w:ascii="Arial" w:eastAsia="Times New Roman" w:hAnsi="Arial" w:cs="Arial"/>
          <w:b/>
          <w:bCs/>
          <w:color w:val="0070C0"/>
          <w:sz w:val="24"/>
          <w:szCs w:val="24"/>
          <w:lang w:val="es-ES" w:eastAsia="es-CO"/>
        </w:rPr>
        <w:t>Línea de inversión 5</w:t>
      </w:r>
      <w:r w:rsidRPr="00B57548">
        <w:rPr>
          <w:rFonts w:ascii="Arial" w:eastAsia="Times New Roman" w:hAnsi="Arial" w:cs="Arial"/>
          <w:b/>
          <w:bCs/>
          <w:sz w:val="24"/>
          <w:szCs w:val="24"/>
          <w:lang w:val="es-ES" w:eastAsia="es-CO"/>
        </w:rPr>
        <w:t xml:space="preserve">. </w:t>
      </w:r>
      <w:r w:rsidR="0043629B" w:rsidRPr="00B57548">
        <w:rPr>
          <w:rFonts w:ascii="Arial" w:eastAsia="Times New Roman" w:hAnsi="Arial" w:cs="Arial"/>
          <w:b/>
          <w:bCs/>
          <w:sz w:val="24"/>
          <w:szCs w:val="24"/>
          <w:lang w:val="es-ES" w:eastAsia="es-CO"/>
        </w:rPr>
        <w:t>Justicia Cercana al Ciudadano</w:t>
      </w:r>
    </w:p>
    <w:p w:rsidR="00CD3A23" w:rsidRPr="00B57548" w:rsidRDefault="003879B6" w:rsidP="00B57548">
      <w:pPr>
        <w:shd w:val="clear" w:color="auto" w:fill="FFFFFF"/>
        <w:spacing w:after="0" w:line="240" w:lineRule="auto"/>
        <w:jc w:val="both"/>
        <w:rPr>
          <w:rFonts w:ascii="Arial" w:eastAsia="MS Mincho" w:hAnsi="Arial" w:cs="Arial"/>
          <w:sz w:val="24"/>
          <w:szCs w:val="24"/>
          <w:lang w:val="es-ES_tradnl"/>
        </w:rPr>
      </w:pPr>
      <w:r w:rsidRPr="00B57548">
        <w:rPr>
          <w:rFonts w:ascii="Arial" w:eastAsia="MS Mincho" w:hAnsi="Arial" w:cs="Arial"/>
          <w:sz w:val="24"/>
          <w:szCs w:val="24"/>
          <w:lang w:val="es-ES_tradnl"/>
        </w:rPr>
        <w:t>E</w:t>
      </w:r>
      <w:r w:rsidR="00D855FA" w:rsidRPr="00B57548">
        <w:rPr>
          <w:rFonts w:ascii="Arial" w:eastAsia="MS Mincho" w:hAnsi="Arial" w:cs="Arial"/>
          <w:sz w:val="24"/>
          <w:szCs w:val="24"/>
          <w:lang w:val="es-ES_tradnl"/>
        </w:rPr>
        <w:t xml:space="preserve">n Barranquilla </w:t>
      </w:r>
      <w:r w:rsidRPr="00B57548">
        <w:rPr>
          <w:rFonts w:ascii="Arial" w:eastAsia="MS Mincho" w:hAnsi="Arial" w:cs="Arial"/>
          <w:sz w:val="24"/>
          <w:szCs w:val="24"/>
          <w:lang w:val="es-ES_tradnl"/>
        </w:rPr>
        <w:t>se</w:t>
      </w:r>
      <w:r w:rsidR="00D855FA" w:rsidRPr="00B57548">
        <w:rPr>
          <w:rFonts w:ascii="Arial" w:eastAsia="Times New Roman" w:hAnsi="Arial" w:cs="Arial"/>
          <w:sz w:val="24"/>
          <w:szCs w:val="24"/>
          <w:lang w:val="es-ES" w:eastAsia="es-CO"/>
        </w:rPr>
        <w:t xml:space="preserve"> creó la Unidad de Prevención y Justicia –UPJ- en diciembre del 2014</w:t>
      </w:r>
      <w:r w:rsidR="002C62A8" w:rsidRPr="00B57548">
        <w:rPr>
          <w:rFonts w:ascii="Arial" w:eastAsia="Times New Roman" w:hAnsi="Arial" w:cs="Arial"/>
          <w:sz w:val="24"/>
          <w:szCs w:val="24"/>
          <w:lang w:val="es-ES" w:eastAsia="es-CO"/>
        </w:rPr>
        <w:t xml:space="preserve"> para </w:t>
      </w:r>
      <w:r w:rsidR="002C62A8" w:rsidRPr="00B57548">
        <w:rPr>
          <w:rFonts w:ascii="Arial" w:eastAsia="MS Mincho" w:hAnsi="Arial" w:cs="Arial"/>
          <w:sz w:val="24"/>
          <w:szCs w:val="24"/>
          <w:lang w:val="es-ES_tradnl"/>
        </w:rPr>
        <w:t xml:space="preserve">traslados de los ciudadanos que infringen las normas </w:t>
      </w:r>
      <w:r w:rsidRPr="00B57548">
        <w:rPr>
          <w:rFonts w:ascii="Arial" w:eastAsia="MS Mincho" w:hAnsi="Arial" w:cs="Arial"/>
          <w:sz w:val="24"/>
          <w:szCs w:val="24"/>
          <w:lang w:val="es-ES_tradnl"/>
        </w:rPr>
        <w:t xml:space="preserve">de convivencia y no son sancionados por las autoridades. La UPJ ejecuta </w:t>
      </w:r>
      <w:r w:rsidR="002C62A8" w:rsidRPr="00B57548">
        <w:rPr>
          <w:rFonts w:ascii="Arial" w:eastAsia="MS Mincho" w:hAnsi="Arial" w:cs="Arial"/>
          <w:sz w:val="24"/>
          <w:szCs w:val="24"/>
          <w:lang w:val="es-ES_tradnl"/>
        </w:rPr>
        <w:t>medida</w:t>
      </w:r>
      <w:r w:rsidRPr="00B57548">
        <w:rPr>
          <w:rFonts w:ascii="Arial" w:eastAsia="MS Mincho" w:hAnsi="Arial" w:cs="Arial"/>
          <w:sz w:val="24"/>
          <w:szCs w:val="24"/>
          <w:lang w:val="es-ES_tradnl"/>
        </w:rPr>
        <w:t>s</w:t>
      </w:r>
      <w:r w:rsidR="002C62A8" w:rsidRPr="00B57548">
        <w:rPr>
          <w:rFonts w:ascii="Arial" w:eastAsia="MS Mincho" w:hAnsi="Arial" w:cs="Arial"/>
          <w:sz w:val="24"/>
          <w:szCs w:val="24"/>
          <w:lang w:val="es-ES_tradnl"/>
        </w:rPr>
        <w:t xml:space="preserve"> de prevención y protección las 24 horas del día los siete días de la semana</w:t>
      </w:r>
      <w:r w:rsidRPr="00B57548">
        <w:rPr>
          <w:rFonts w:ascii="Arial" w:eastAsia="MS Mincho" w:hAnsi="Arial" w:cs="Arial"/>
          <w:sz w:val="24"/>
          <w:szCs w:val="24"/>
          <w:lang w:val="es-ES_tradnl"/>
        </w:rPr>
        <w:t>. S</w:t>
      </w:r>
      <w:r w:rsidR="00D855FA" w:rsidRPr="00B57548">
        <w:rPr>
          <w:rFonts w:ascii="Arial" w:eastAsia="MS Mincho" w:hAnsi="Arial" w:cs="Arial"/>
          <w:sz w:val="24"/>
          <w:szCs w:val="24"/>
          <w:lang w:val="es-ES_tradnl"/>
        </w:rPr>
        <w:t xml:space="preserve">e ha posicionado como el instrumento interinstitucional eficiente para de forma anticipada y preventiva atender y sancionar a los infractores de los casos de alteración de la tranquilidad ciudadana, a quienes participan de riñas, agresiones, portan de armas cortopunzantes, ejercen violencia en contra de los mujeres y niños, entre otros casos. La Unidad  de Prevención y Justicia durante el primer semestre del año logró el posicionamiento institucional en la ciudad, erigiéndose tal como lo ordena el Decreto en la instancia de apoyo administrativo e institucional para  garantizar la seguridad y la convivencia en el Distrito. </w:t>
      </w:r>
      <w:r w:rsidR="00612F3E" w:rsidRPr="00B57548">
        <w:rPr>
          <w:rFonts w:ascii="Arial" w:eastAsia="MS Mincho" w:hAnsi="Arial" w:cs="Arial"/>
          <w:sz w:val="24"/>
          <w:szCs w:val="24"/>
          <w:lang w:val="es-ES_tradnl"/>
        </w:rPr>
        <w:t xml:space="preserve"> </w:t>
      </w:r>
      <w:r w:rsidR="00CD3A23" w:rsidRPr="00B57548">
        <w:rPr>
          <w:rFonts w:ascii="Arial" w:eastAsia="MS Mincho" w:hAnsi="Arial" w:cs="Arial"/>
          <w:sz w:val="24"/>
          <w:szCs w:val="24"/>
          <w:lang w:val="es-ES_tradnl"/>
        </w:rPr>
        <w:t>Se han realizado a la fecha 23.510</w:t>
      </w:r>
      <w:r w:rsidR="002C62A8" w:rsidRPr="00B57548">
        <w:rPr>
          <w:rFonts w:ascii="Arial" w:eastAsia="MS Mincho" w:hAnsi="Arial" w:cs="Arial"/>
          <w:sz w:val="24"/>
          <w:szCs w:val="24"/>
          <w:lang w:val="es-ES_tradnl"/>
        </w:rPr>
        <w:t xml:space="preserve"> medidas de protección. </w:t>
      </w:r>
    </w:p>
    <w:p w:rsidR="00D855FA" w:rsidRPr="00B57548" w:rsidRDefault="00D855FA" w:rsidP="00B57548">
      <w:pPr>
        <w:jc w:val="both"/>
        <w:rPr>
          <w:rFonts w:ascii="Arial" w:eastAsia="MS Mincho" w:hAnsi="Arial" w:cs="Arial"/>
          <w:sz w:val="24"/>
          <w:szCs w:val="24"/>
          <w:lang w:val="es-ES_tradnl"/>
        </w:rPr>
      </w:pPr>
    </w:p>
    <w:p w:rsidR="0043629B" w:rsidRPr="00B57548" w:rsidRDefault="00D855FA" w:rsidP="00B57548">
      <w:pPr>
        <w:shd w:val="clear" w:color="auto" w:fill="FFFFFF"/>
        <w:spacing w:after="0" w:line="240" w:lineRule="auto"/>
        <w:jc w:val="both"/>
        <w:rPr>
          <w:rFonts w:ascii="Arial" w:eastAsia="Times New Roman" w:hAnsi="Arial" w:cs="Arial"/>
          <w:sz w:val="24"/>
          <w:szCs w:val="24"/>
          <w:lang w:eastAsia="es-CO"/>
        </w:rPr>
      </w:pPr>
      <w:r w:rsidRPr="00B57548">
        <w:rPr>
          <w:rFonts w:ascii="Arial" w:eastAsia="Times New Roman" w:hAnsi="Arial" w:cs="Arial"/>
          <w:sz w:val="24"/>
          <w:szCs w:val="24"/>
          <w:lang w:val="es-ES" w:eastAsia="es-CO"/>
        </w:rPr>
        <w:t>Diseño e implementación del Plan Integral Atlántico para el fortalecimiento del SPOA con la Fiscalía General de la Nación y la Gobernación del Atlántico</w:t>
      </w:r>
    </w:p>
    <w:p w:rsidR="00D855FA" w:rsidRDefault="00D855FA" w:rsidP="00B57548">
      <w:pPr>
        <w:pStyle w:val="Prrafodelista"/>
        <w:ind w:left="0"/>
        <w:jc w:val="both"/>
        <w:rPr>
          <w:rFonts w:ascii="Arial" w:hAnsi="Arial" w:cs="Arial"/>
          <w:b/>
          <w:color w:val="0070C0"/>
          <w:sz w:val="24"/>
          <w:szCs w:val="24"/>
        </w:rPr>
      </w:pPr>
    </w:p>
    <w:p w:rsidR="00B57548" w:rsidRDefault="00B57548" w:rsidP="00B57548">
      <w:pPr>
        <w:pStyle w:val="Prrafodelista"/>
        <w:ind w:left="0"/>
        <w:jc w:val="both"/>
        <w:rPr>
          <w:rFonts w:ascii="Arial" w:hAnsi="Arial" w:cs="Arial"/>
          <w:b/>
          <w:color w:val="0070C0"/>
          <w:sz w:val="24"/>
          <w:szCs w:val="24"/>
        </w:rPr>
      </w:pPr>
    </w:p>
    <w:p w:rsidR="00B57548" w:rsidRDefault="00B57548" w:rsidP="00B57548">
      <w:pPr>
        <w:pStyle w:val="Prrafodelista"/>
        <w:ind w:left="0"/>
        <w:jc w:val="both"/>
        <w:rPr>
          <w:rFonts w:ascii="Arial" w:hAnsi="Arial" w:cs="Arial"/>
          <w:b/>
          <w:color w:val="0070C0"/>
          <w:sz w:val="24"/>
          <w:szCs w:val="24"/>
        </w:rPr>
      </w:pPr>
    </w:p>
    <w:p w:rsidR="00B57548" w:rsidRPr="00B57548" w:rsidRDefault="00B57548" w:rsidP="00B57548">
      <w:pPr>
        <w:pStyle w:val="Prrafodelista"/>
        <w:ind w:left="0"/>
        <w:jc w:val="both"/>
        <w:rPr>
          <w:rFonts w:ascii="Arial" w:hAnsi="Arial" w:cs="Arial"/>
          <w:b/>
          <w:color w:val="0070C0"/>
          <w:sz w:val="24"/>
          <w:szCs w:val="24"/>
        </w:rPr>
      </w:pPr>
      <w:bookmarkStart w:id="0" w:name="_GoBack"/>
      <w:bookmarkEnd w:id="0"/>
    </w:p>
    <w:p w:rsidR="00875578" w:rsidRPr="00B57548" w:rsidRDefault="0097135C" w:rsidP="00B57548">
      <w:pPr>
        <w:pStyle w:val="Prrafodelista"/>
        <w:ind w:left="0"/>
        <w:jc w:val="both"/>
        <w:rPr>
          <w:rFonts w:ascii="Arial" w:hAnsi="Arial" w:cs="Arial"/>
          <w:b/>
          <w:sz w:val="24"/>
          <w:szCs w:val="24"/>
        </w:rPr>
      </w:pPr>
      <w:r w:rsidRPr="00B57548">
        <w:rPr>
          <w:rFonts w:ascii="Arial" w:hAnsi="Arial" w:cs="Arial"/>
          <w:b/>
          <w:color w:val="0070C0"/>
          <w:sz w:val="24"/>
          <w:szCs w:val="24"/>
        </w:rPr>
        <w:lastRenderedPageBreak/>
        <w:t>Línea</w:t>
      </w:r>
      <w:r w:rsidR="00E16FA4" w:rsidRPr="00B57548">
        <w:rPr>
          <w:rFonts w:ascii="Arial" w:hAnsi="Arial" w:cs="Arial"/>
          <w:b/>
          <w:color w:val="0070C0"/>
          <w:sz w:val="24"/>
          <w:szCs w:val="24"/>
        </w:rPr>
        <w:t xml:space="preserve"> de inversión 6</w:t>
      </w:r>
      <w:r w:rsidR="00E16FA4" w:rsidRPr="00B57548">
        <w:rPr>
          <w:rFonts w:ascii="Arial" w:hAnsi="Arial" w:cs="Arial"/>
          <w:sz w:val="24"/>
          <w:szCs w:val="24"/>
        </w:rPr>
        <w:t xml:space="preserve">. </w:t>
      </w:r>
      <w:r w:rsidR="004F2DD8" w:rsidRPr="00B57548">
        <w:rPr>
          <w:rFonts w:ascii="Arial" w:hAnsi="Arial" w:cs="Arial"/>
          <w:b/>
          <w:sz w:val="24"/>
          <w:szCs w:val="24"/>
        </w:rPr>
        <w:t>Inversión en intervención situacional para la reducción y control de riesgos y del delito</w:t>
      </w:r>
    </w:p>
    <w:p w:rsidR="002130B1" w:rsidRPr="00B57548" w:rsidRDefault="002130B1" w:rsidP="00B57548">
      <w:pPr>
        <w:pStyle w:val="Prrafodelista"/>
        <w:ind w:left="0"/>
        <w:jc w:val="both"/>
        <w:rPr>
          <w:rFonts w:ascii="Arial" w:hAnsi="Arial" w:cs="Arial"/>
          <w:b/>
          <w:sz w:val="24"/>
          <w:szCs w:val="24"/>
        </w:rPr>
      </w:pPr>
    </w:p>
    <w:p w:rsidR="004F2DD8" w:rsidRPr="00B57548" w:rsidRDefault="002130B1" w:rsidP="00B57548">
      <w:pPr>
        <w:pStyle w:val="Prrafodelista"/>
        <w:ind w:left="0"/>
        <w:jc w:val="both"/>
        <w:rPr>
          <w:rFonts w:ascii="Arial" w:hAnsi="Arial" w:cs="Arial"/>
          <w:b/>
          <w:i/>
          <w:sz w:val="24"/>
          <w:szCs w:val="24"/>
        </w:rPr>
      </w:pPr>
      <w:r w:rsidRPr="00B57548">
        <w:rPr>
          <w:rFonts w:ascii="Arial" w:hAnsi="Arial" w:cs="Arial"/>
          <w:b/>
          <w:i/>
          <w:sz w:val="24"/>
          <w:szCs w:val="24"/>
        </w:rPr>
        <w:t>Intervención situacional</w:t>
      </w:r>
    </w:p>
    <w:p w:rsidR="002130B1" w:rsidRPr="00B57548" w:rsidRDefault="002130B1" w:rsidP="00B57548">
      <w:pPr>
        <w:pStyle w:val="Prrafodelista"/>
        <w:ind w:left="0"/>
        <w:jc w:val="both"/>
        <w:rPr>
          <w:rFonts w:ascii="Arial" w:hAnsi="Arial" w:cs="Arial"/>
          <w:b/>
          <w:i/>
          <w:sz w:val="24"/>
          <w:szCs w:val="24"/>
        </w:rPr>
      </w:pPr>
    </w:p>
    <w:p w:rsidR="00BD2F86" w:rsidRPr="00B57548" w:rsidRDefault="009B0F7F" w:rsidP="00B57548">
      <w:pPr>
        <w:pStyle w:val="Prrafodelista"/>
        <w:ind w:left="0"/>
        <w:jc w:val="both"/>
        <w:rPr>
          <w:rFonts w:ascii="Arial" w:hAnsi="Arial" w:cs="Arial"/>
          <w:sz w:val="24"/>
          <w:szCs w:val="24"/>
        </w:rPr>
      </w:pPr>
      <w:r w:rsidRPr="00B57548">
        <w:rPr>
          <w:rFonts w:ascii="Arial" w:hAnsi="Arial" w:cs="Arial"/>
          <w:b/>
          <w:sz w:val="24"/>
          <w:szCs w:val="24"/>
        </w:rPr>
        <w:t xml:space="preserve">Con </w:t>
      </w:r>
      <w:r w:rsidR="00934373" w:rsidRPr="00B57548">
        <w:rPr>
          <w:rFonts w:ascii="Arial" w:hAnsi="Arial" w:cs="Arial"/>
          <w:b/>
          <w:sz w:val="24"/>
          <w:szCs w:val="24"/>
        </w:rPr>
        <w:t>la creación e implementación d</w:t>
      </w:r>
      <w:r w:rsidRPr="00B57548">
        <w:rPr>
          <w:rFonts w:ascii="Arial" w:hAnsi="Arial" w:cs="Arial"/>
          <w:b/>
          <w:sz w:val="24"/>
          <w:szCs w:val="24"/>
        </w:rPr>
        <w:t xml:space="preserve">el Programa Entornos Socio Urbanos Seguros ESUS se propuso mejorar la relación ciudadano-entorno a través de la intervención social y situacional </w:t>
      </w:r>
      <w:r w:rsidR="00934373" w:rsidRPr="00B57548">
        <w:rPr>
          <w:rFonts w:ascii="Arial" w:hAnsi="Arial" w:cs="Arial"/>
          <w:b/>
          <w:sz w:val="24"/>
          <w:szCs w:val="24"/>
        </w:rPr>
        <w:t>de</w:t>
      </w:r>
      <w:r w:rsidRPr="00B57548">
        <w:rPr>
          <w:rFonts w:ascii="Arial" w:hAnsi="Arial" w:cs="Arial"/>
          <w:b/>
          <w:sz w:val="24"/>
          <w:szCs w:val="24"/>
        </w:rPr>
        <w:t xml:space="preserve"> elementos que componen la infraestructura urbana con el fin de prevenir las oportunidades de comisión de delitos y mejorar la percepción de seguridad</w:t>
      </w:r>
      <w:r w:rsidR="00D76AF7" w:rsidRPr="00B57548">
        <w:rPr>
          <w:rFonts w:ascii="Arial" w:hAnsi="Arial" w:cs="Arial"/>
          <w:sz w:val="24"/>
          <w:szCs w:val="24"/>
        </w:rPr>
        <w:t xml:space="preserve">. </w:t>
      </w:r>
      <w:r w:rsidR="00F45144" w:rsidRPr="00B57548">
        <w:rPr>
          <w:rFonts w:ascii="Arial" w:hAnsi="Arial" w:cs="Arial"/>
          <w:sz w:val="24"/>
          <w:szCs w:val="24"/>
        </w:rPr>
        <w:t>Los instrumentos de</w:t>
      </w:r>
      <w:r w:rsidR="00BD2F86" w:rsidRPr="00B57548">
        <w:rPr>
          <w:rFonts w:ascii="Arial" w:hAnsi="Arial" w:cs="Arial"/>
          <w:sz w:val="24"/>
          <w:szCs w:val="24"/>
        </w:rPr>
        <w:t xml:space="preserve">l modelo, </w:t>
      </w:r>
      <w:r w:rsidR="00F45144" w:rsidRPr="00B57548">
        <w:rPr>
          <w:rFonts w:ascii="Arial" w:hAnsi="Arial" w:cs="Arial"/>
          <w:sz w:val="24"/>
          <w:szCs w:val="24"/>
        </w:rPr>
        <w:t xml:space="preserve">remiten a una focalización de la inversión basada en </w:t>
      </w:r>
      <w:r w:rsidR="00BD2F86" w:rsidRPr="00B57548">
        <w:rPr>
          <w:rFonts w:ascii="Arial" w:hAnsi="Arial" w:cs="Arial"/>
          <w:sz w:val="24"/>
          <w:szCs w:val="24"/>
        </w:rPr>
        <w:t xml:space="preserve">diagnósticos </w:t>
      </w:r>
      <w:r w:rsidR="00F45144" w:rsidRPr="00B57548">
        <w:rPr>
          <w:rFonts w:ascii="Arial" w:hAnsi="Arial" w:cs="Arial"/>
          <w:sz w:val="24"/>
          <w:szCs w:val="24"/>
        </w:rPr>
        <w:t>y</w:t>
      </w:r>
      <w:r w:rsidR="00BD2F86" w:rsidRPr="00B57548">
        <w:rPr>
          <w:rFonts w:ascii="Arial" w:hAnsi="Arial" w:cs="Arial"/>
          <w:sz w:val="24"/>
          <w:szCs w:val="24"/>
        </w:rPr>
        <w:t xml:space="preserve"> caracterización de la violencia y la criminalidad, de manera que la </w:t>
      </w:r>
      <w:r w:rsidR="00934373" w:rsidRPr="00B57548">
        <w:rPr>
          <w:rFonts w:ascii="Arial" w:hAnsi="Arial" w:cs="Arial"/>
          <w:sz w:val="24"/>
          <w:szCs w:val="24"/>
        </w:rPr>
        <w:t xml:space="preserve">inversión e </w:t>
      </w:r>
      <w:r w:rsidR="00BD2F86" w:rsidRPr="00B57548">
        <w:rPr>
          <w:rFonts w:ascii="Arial" w:hAnsi="Arial" w:cs="Arial"/>
          <w:sz w:val="24"/>
          <w:szCs w:val="24"/>
        </w:rPr>
        <w:t xml:space="preserve">intervención </w:t>
      </w:r>
      <w:r w:rsidR="00934373" w:rsidRPr="00B57548">
        <w:rPr>
          <w:rFonts w:ascii="Arial" w:hAnsi="Arial" w:cs="Arial"/>
          <w:sz w:val="24"/>
          <w:szCs w:val="24"/>
        </w:rPr>
        <w:t xml:space="preserve">se </w:t>
      </w:r>
      <w:r w:rsidR="00F45144" w:rsidRPr="00B57548">
        <w:rPr>
          <w:rFonts w:ascii="Arial" w:hAnsi="Arial" w:cs="Arial"/>
          <w:sz w:val="24"/>
          <w:szCs w:val="24"/>
        </w:rPr>
        <w:t>hizo con</w:t>
      </w:r>
      <w:r w:rsidR="00BD2F86" w:rsidRPr="00B57548">
        <w:rPr>
          <w:rFonts w:ascii="Arial" w:hAnsi="Arial" w:cs="Arial"/>
          <w:sz w:val="24"/>
          <w:szCs w:val="24"/>
        </w:rPr>
        <w:t xml:space="preserve"> pleno conocimiento de la configuración del fenómeno criminal y su ámbito geográfico de acción. </w:t>
      </w:r>
    </w:p>
    <w:p w:rsidR="00A17D42" w:rsidRPr="00B57548" w:rsidRDefault="00934373" w:rsidP="00B57548">
      <w:pPr>
        <w:jc w:val="both"/>
        <w:rPr>
          <w:rFonts w:ascii="Arial" w:hAnsi="Arial" w:cs="Arial"/>
          <w:sz w:val="24"/>
          <w:szCs w:val="24"/>
        </w:rPr>
      </w:pPr>
      <w:r w:rsidRPr="00B57548">
        <w:rPr>
          <w:rFonts w:ascii="Arial" w:hAnsi="Arial" w:cs="Arial"/>
          <w:sz w:val="24"/>
          <w:szCs w:val="24"/>
        </w:rPr>
        <w:t>Con</w:t>
      </w:r>
      <w:r w:rsidR="008321DE" w:rsidRPr="00B57548">
        <w:rPr>
          <w:rFonts w:ascii="Arial" w:hAnsi="Arial" w:cs="Arial"/>
          <w:sz w:val="24"/>
          <w:szCs w:val="24"/>
        </w:rPr>
        <w:t xml:space="preserve"> el programa ESUS </w:t>
      </w:r>
      <w:r w:rsidRPr="00B57548">
        <w:rPr>
          <w:rFonts w:ascii="Arial" w:hAnsi="Arial" w:cs="Arial"/>
          <w:sz w:val="24"/>
          <w:szCs w:val="24"/>
        </w:rPr>
        <w:t xml:space="preserve">se </w:t>
      </w:r>
      <w:r w:rsidR="0025447E" w:rsidRPr="00B57548">
        <w:rPr>
          <w:rFonts w:ascii="Arial" w:hAnsi="Arial" w:cs="Arial"/>
          <w:sz w:val="24"/>
          <w:szCs w:val="24"/>
        </w:rPr>
        <w:t>intervino</w:t>
      </w:r>
      <w:r w:rsidR="00DA4B55" w:rsidRPr="00B57548">
        <w:rPr>
          <w:rFonts w:ascii="Arial" w:hAnsi="Arial" w:cs="Arial"/>
          <w:sz w:val="24"/>
          <w:szCs w:val="24"/>
        </w:rPr>
        <w:t xml:space="preserve"> 372</w:t>
      </w:r>
      <w:r w:rsidR="008321DE" w:rsidRPr="00B57548">
        <w:rPr>
          <w:rFonts w:ascii="Arial" w:hAnsi="Arial" w:cs="Arial"/>
          <w:sz w:val="24"/>
          <w:szCs w:val="24"/>
        </w:rPr>
        <w:t xml:space="preserve"> territorios críticos de la ciudad</w:t>
      </w:r>
      <w:r w:rsidR="0025447E" w:rsidRPr="00B57548">
        <w:rPr>
          <w:rFonts w:ascii="Arial" w:hAnsi="Arial" w:cs="Arial"/>
          <w:sz w:val="24"/>
          <w:szCs w:val="24"/>
        </w:rPr>
        <w:t xml:space="preserve"> y </w:t>
      </w:r>
      <w:r w:rsidRPr="00B57548">
        <w:rPr>
          <w:rFonts w:ascii="Arial" w:hAnsi="Arial" w:cs="Arial"/>
          <w:sz w:val="24"/>
          <w:szCs w:val="24"/>
        </w:rPr>
        <w:t xml:space="preserve">se </w:t>
      </w:r>
      <w:r w:rsidR="0025447E" w:rsidRPr="00B57548">
        <w:rPr>
          <w:rFonts w:ascii="Arial" w:hAnsi="Arial" w:cs="Arial"/>
          <w:sz w:val="24"/>
          <w:szCs w:val="24"/>
        </w:rPr>
        <w:t>prioriz</w:t>
      </w:r>
      <w:r w:rsidRPr="00B57548">
        <w:rPr>
          <w:rFonts w:ascii="Arial" w:hAnsi="Arial" w:cs="Arial"/>
          <w:sz w:val="24"/>
          <w:szCs w:val="24"/>
        </w:rPr>
        <w:t>ó</w:t>
      </w:r>
      <w:r w:rsidR="0025447E" w:rsidRPr="00B57548">
        <w:rPr>
          <w:rFonts w:ascii="Arial" w:hAnsi="Arial" w:cs="Arial"/>
          <w:sz w:val="24"/>
          <w:szCs w:val="24"/>
        </w:rPr>
        <w:t xml:space="preserve"> 51 áreas en 17  barrios ESUS</w:t>
      </w:r>
      <w:r w:rsidRPr="00B57548">
        <w:rPr>
          <w:rFonts w:ascii="Arial" w:hAnsi="Arial" w:cs="Arial"/>
          <w:sz w:val="24"/>
          <w:szCs w:val="24"/>
        </w:rPr>
        <w:t xml:space="preserve"> y se realizaron adicionalmente 20 intervenciones tempranas en sectores específicos de la ciudad; se recuperaron</w:t>
      </w:r>
      <w:r w:rsidR="00A17D42" w:rsidRPr="00B57548">
        <w:rPr>
          <w:rFonts w:ascii="Arial" w:hAnsi="Arial" w:cs="Arial"/>
          <w:sz w:val="24"/>
          <w:szCs w:val="24"/>
        </w:rPr>
        <w:t xml:space="preserve"> </w:t>
      </w:r>
      <w:r w:rsidRPr="00B57548">
        <w:rPr>
          <w:rFonts w:ascii="Arial" w:hAnsi="Arial" w:cs="Arial"/>
          <w:sz w:val="24"/>
          <w:szCs w:val="24"/>
        </w:rPr>
        <w:t xml:space="preserve">2 Zonas especiales Cachacal y Boliche; 39 Instituciones Educativas Distritales; se acompañó e intervino en los  </w:t>
      </w:r>
      <w:r w:rsidR="00A17D42" w:rsidRPr="00B57548">
        <w:rPr>
          <w:rFonts w:ascii="Arial" w:hAnsi="Arial" w:cs="Arial"/>
          <w:sz w:val="24"/>
          <w:szCs w:val="24"/>
        </w:rPr>
        <w:t>3 proyectos de vivienda para comunidades vulnerables</w:t>
      </w:r>
      <w:r w:rsidRPr="00B57548">
        <w:rPr>
          <w:rFonts w:ascii="Arial" w:hAnsi="Arial" w:cs="Arial"/>
          <w:sz w:val="24"/>
          <w:szCs w:val="24"/>
        </w:rPr>
        <w:t>; y se actuó en conjunto en</w:t>
      </w:r>
      <w:r w:rsidR="00A17D42" w:rsidRPr="00B57548">
        <w:rPr>
          <w:rFonts w:ascii="Arial" w:hAnsi="Arial" w:cs="Arial"/>
          <w:sz w:val="24"/>
          <w:szCs w:val="24"/>
        </w:rPr>
        <w:t xml:space="preserve"> </w:t>
      </w:r>
      <w:r w:rsidRPr="00B57548">
        <w:rPr>
          <w:rFonts w:ascii="Arial" w:hAnsi="Arial" w:cs="Arial"/>
          <w:sz w:val="24"/>
          <w:szCs w:val="24"/>
        </w:rPr>
        <w:t>4 áreas especiales del Plan Choque de la Policía Metropolitana de Barranquilla.</w:t>
      </w:r>
    </w:p>
    <w:p w:rsidR="00934373" w:rsidRPr="00B57548" w:rsidRDefault="00934373" w:rsidP="00B57548">
      <w:pPr>
        <w:jc w:val="both"/>
        <w:rPr>
          <w:rFonts w:ascii="Arial" w:hAnsi="Arial" w:cs="Arial"/>
          <w:sz w:val="24"/>
          <w:szCs w:val="24"/>
        </w:rPr>
      </w:pPr>
      <w:r w:rsidRPr="00B57548">
        <w:rPr>
          <w:rFonts w:ascii="Arial" w:hAnsi="Arial" w:cs="Arial"/>
          <w:b/>
          <w:sz w:val="24"/>
          <w:szCs w:val="24"/>
        </w:rPr>
        <w:t>La gestión e inversión del Fondo de Seguridad en este programa se realizó por medio de las siguientes estrategias</w:t>
      </w:r>
      <w:r w:rsidRPr="00B57548">
        <w:rPr>
          <w:rFonts w:ascii="Arial" w:hAnsi="Arial" w:cs="Arial"/>
          <w:sz w:val="24"/>
          <w:szCs w:val="24"/>
        </w:rPr>
        <w:t xml:space="preserve">: </w:t>
      </w:r>
    </w:p>
    <w:p w:rsidR="005B4F7D" w:rsidRPr="00B57548" w:rsidRDefault="0080589C" w:rsidP="00B57548">
      <w:pPr>
        <w:ind w:left="360"/>
        <w:jc w:val="both"/>
        <w:rPr>
          <w:rFonts w:ascii="Arial" w:hAnsi="Arial" w:cs="Arial"/>
          <w:sz w:val="24"/>
          <w:szCs w:val="24"/>
        </w:rPr>
      </w:pPr>
      <w:r w:rsidRPr="00B57548">
        <w:rPr>
          <w:rFonts w:ascii="Arial" w:hAnsi="Arial" w:cs="Arial"/>
          <w:b/>
          <w:sz w:val="24"/>
          <w:szCs w:val="24"/>
        </w:rPr>
        <w:t>Recuperación de entornos urbanos</w:t>
      </w:r>
      <w:r w:rsidRPr="00B57548">
        <w:rPr>
          <w:rFonts w:ascii="Arial" w:hAnsi="Arial" w:cs="Arial"/>
          <w:sz w:val="24"/>
          <w:szCs w:val="24"/>
        </w:rPr>
        <w:t xml:space="preserve">. A través de la elaboración de diagnósticos de percepción e identificación de factores </w:t>
      </w:r>
      <w:r w:rsidR="00481E3B" w:rsidRPr="00B57548">
        <w:rPr>
          <w:rFonts w:ascii="Arial" w:hAnsi="Arial" w:cs="Arial"/>
          <w:sz w:val="24"/>
          <w:szCs w:val="24"/>
        </w:rPr>
        <w:t xml:space="preserve">de riesgo </w:t>
      </w:r>
      <w:r w:rsidRPr="00B57548">
        <w:rPr>
          <w:rFonts w:ascii="Arial" w:hAnsi="Arial" w:cs="Arial"/>
          <w:sz w:val="24"/>
          <w:szCs w:val="24"/>
        </w:rPr>
        <w:t>situacionales</w:t>
      </w:r>
      <w:r w:rsidR="00481E3B" w:rsidRPr="00B57548">
        <w:rPr>
          <w:rFonts w:ascii="Arial" w:hAnsi="Arial" w:cs="Arial"/>
          <w:sz w:val="24"/>
          <w:szCs w:val="24"/>
        </w:rPr>
        <w:t xml:space="preserve"> en las comunidades más críticas del Distrito</w:t>
      </w:r>
      <w:r w:rsidRPr="00B57548">
        <w:rPr>
          <w:rFonts w:ascii="Arial" w:hAnsi="Arial" w:cs="Arial"/>
          <w:sz w:val="24"/>
          <w:szCs w:val="24"/>
        </w:rPr>
        <w:t xml:space="preserve">, </w:t>
      </w:r>
      <w:r w:rsidRPr="00B57548">
        <w:rPr>
          <w:rFonts w:ascii="Arial" w:hAnsi="Arial" w:cs="Arial"/>
          <w:b/>
          <w:sz w:val="24"/>
          <w:szCs w:val="24"/>
        </w:rPr>
        <w:t>se han intervenido 7.200mtrs2 de los entornos de 28 parques con oferta situacional en Alumbrado Público, instalación de cámaras de video vigilancia, mejoramiento del espacio público, medio ambientales y conformación de Sistema Social de Alertas Tempranas con comunidade</w:t>
      </w:r>
      <w:r w:rsidRPr="00B57548">
        <w:rPr>
          <w:rFonts w:ascii="Arial" w:hAnsi="Arial" w:cs="Arial"/>
          <w:sz w:val="24"/>
          <w:szCs w:val="24"/>
        </w:rPr>
        <w:t xml:space="preserve">s, </w:t>
      </w:r>
      <w:r w:rsidR="00532C17" w:rsidRPr="00B57548">
        <w:rPr>
          <w:rFonts w:ascii="Arial" w:hAnsi="Arial" w:cs="Arial"/>
          <w:sz w:val="24"/>
          <w:szCs w:val="24"/>
        </w:rPr>
        <w:t xml:space="preserve">por medio de las </w:t>
      </w:r>
      <w:r w:rsidR="00532C17" w:rsidRPr="00B57548">
        <w:rPr>
          <w:rFonts w:ascii="Arial" w:hAnsi="Arial" w:cs="Arial"/>
          <w:i/>
          <w:sz w:val="24"/>
          <w:szCs w:val="24"/>
        </w:rPr>
        <w:t>Jornadas ESUS</w:t>
      </w:r>
      <w:r w:rsidR="00532C17" w:rsidRPr="00B57548">
        <w:rPr>
          <w:rFonts w:ascii="Arial" w:hAnsi="Arial" w:cs="Arial"/>
          <w:b/>
          <w:sz w:val="24"/>
          <w:szCs w:val="24"/>
        </w:rPr>
        <w:t xml:space="preserve"> </w:t>
      </w:r>
      <w:r w:rsidR="00532C17" w:rsidRPr="00B57548">
        <w:rPr>
          <w:rFonts w:ascii="Arial" w:hAnsi="Arial" w:cs="Arial"/>
          <w:sz w:val="24"/>
          <w:szCs w:val="24"/>
        </w:rPr>
        <w:t>para la recuperación y transformación de entornos más seguros</w:t>
      </w:r>
      <w:r w:rsidR="005B4F7D" w:rsidRPr="00B57548">
        <w:rPr>
          <w:rFonts w:ascii="Arial" w:hAnsi="Arial" w:cs="Arial"/>
          <w:sz w:val="24"/>
          <w:szCs w:val="24"/>
        </w:rPr>
        <w:t xml:space="preserve"> articulando</w:t>
      </w:r>
      <w:r w:rsidR="00DD7621" w:rsidRPr="00B57548">
        <w:rPr>
          <w:rFonts w:ascii="Arial" w:hAnsi="Arial" w:cs="Arial"/>
          <w:sz w:val="24"/>
          <w:szCs w:val="24"/>
        </w:rPr>
        <w:t xml:space="preserve"> así</w:t>
      </w:r>
      <w:r w:rsidR="005B4F7D" w:rsidRPr="00B57548">
        <w:rPr>
          <w:rFonts w:ascii="Arial" w:hAnsi="Arial" w:cs="Arial"/>
          <w:sz w:val="24"/>
          <w:szCs w:val="24"/>
        </w:rPr>
        <w:t xml:space="preserve"> la </w:t>
      </w:r>
      <w:r w:rsidR="005B4F7D" w:rsidRPr="00B57548">
        <w:rPr>
          <w:rFonts w:ascii="Arial" w:hAnsi="Arial" w:cs="Arial"/>
          <w:i/>
          <w:sz w:val="24"/>
          <w:szCs w:val="24"/>
        </w:rPr>
        <w:t>Estrategia de Todos</w:t>
      </w:r>
      <w:r w:rsidR="005B4F7D" w:rsidRPr="00B57548">
        <w:rPr>
          <w:rFonts w:ascii="Arial" w:hAnsi="Arial" w:cs="Arial"/>
          <w:sz w:val="24"/>
          <w:szCs w:val="24"/>
        </w:rPr>
        <w:t xml:space="preserve"> al Parque con la intervención situacional de factores de riesgo y oportunidad del delito.</w:t>
      </w:r>
    </w:p>
    <w:p w:rsidR="005B4F7D" w:rsidRPr="00B57548" w:rsidRDefault="005B4F7D" w:rsidP="00B57548">
      <w:pPr>
        <w:ind w:left="360"/>
        <w:jc w:val="both"/>
        <w:rPr>
          <w:rFonts w:ascii="Arial" w:hAnsi="Arial" w:cs="Arial"/>
          <w:sz w:val="24"/>
          <w:szCs w:val="24"/>
        </w:rPr>
      </w:pPr>
      <w:r w:rsidRPr="00B57548">
        <w:rPr>
          <w:rFonts w:ascii="Arial" w:hAnsi="Arial" w:cs="Arial"/>
          <w:sz w:val="24"/>
          <w:szCs w:val="24"/>
        </w:rPr>
        <w:t xml:space="preserve">De igual manera se realizó la intervención integral de Sectores Críticos “El Boliche” en el Barrio Centro y mantenimiento del sector recuperado en “Zona Cachacal” en el Barrio San Roque, con un Modelo de Intervención que contempló: 1. Socialización con la comunidad de comerciantes formales e informales 2. Pedagogía para generar cambios de comportamiento en la relación entorno-ciudadano, 3. Recuperación situacional de 1901 mtrs en el área de chatarras y reorganización de puestos de verduras de la mano con comerciantes y la oferta institucional atendiendo los factores de riesgo </w:t>
      </w:r>
      <w:r w:rsidRPr="00B57548">
        <w:rPr>
          <w:rFonts w:ascii="Arial" w:hAnsi="Arial" w:cs="Arial"/>
          <w:sz w:val="24"/>
          <w:szCs w:val="24"/>
        </w:rPr>
        <w:lastRenderedPageBreak/>
        <w:t xml:space="preserve">situacionales en Alumbrado Público, Medio Ambiente, Espacio Público, Movilidad, Seguridad y Convivencia </w:t>
      </w:r>
    </w:p>
    <w:p w:rsidR="005B4F7D" w:rsidRPr="00B57548" w:rsidRDefault="005B4F7D" w:rsidP="00B57548">
      <w:pPr>
        <w:pStyle w:val="Prrafodelista"/>
        <w:ind w:left="360"/>
        <w:jc w:val="both"/>
        <w:rPr>
          <w:rFonts w:ascii="Arial" w:hAnsi="Arial" w:cs="Arial"/>
          <w:sz w:val="24"/>
          <w:szCs w:val="24"/>
        </w:rPr>
      </w:pPr>
      <w:r w:rsidRPr="00B57548">
        <w:rPr>
          <w:rFonts w:ascii="Arial" w:hAnsi="Arial" w:cs="Arial"/>
          <w:sz w:val="24"/>
          <w:szCs w:val="24"/>
        </w:rPr>
        <w:t xml:space="preserve">Adicionalmente, el programa ESUS se encuentra atendiendo en temas </w:t>
      </w:r>
      <w:r w:rsidR="00DD7621" w:rsidRPr="00B57548">
        <w:rPr>
          <w:rFonts w:ascii="Arial" w:hAnsi="Arial" w:cs="Arial"/>
          <w:sz w:val="24"/>
          <w:szCs w:val="24"/>
        </w:rPr>
        <w:t xml:space="preserve">de </w:t>
      </w:r>
      <w:r w:rsidRPr="00B57548">
        <w:rPr>
          <w:rFonts w:ascii="Arial" w:hAnsi="Arial" w:cs="Arial"/>
          <w:sz w:val="24"/>
          <w:szCs w:val="24"/>
        </w:rPr>
        <w:t>prevención social y situacional los proyectos de Vivienda Villas de la Cordialidad, Villa de San Pablo y Gardenias en la identificación y atención de factores de riesgo coordinando y articulando la oferta institucional.</w:t>
      </w:r>
    </w:p>
    <w:p w:rsidR="0080589C" w:rsidRPr="00B57548" w:rsidRDefault="005B4F7D" w:rsidP="00B57548">
      <w:pPr>
        <w:ind w:left="360"/>
        <w:jc w:val="both"/>
        <w:rPr>
          <w:rFonts w:ascii="Arial" w:hAnsi="Arial" w:cs="Arial"/>
          <w:sz w:val="24"/>
          <w:szCs w:val="24"/>
        </w:rPr>
      </w:pPr>
      <w:r w:rsidRPr="00B57548">
        <w:rPr>
          <w:rFonts w:ascii="Arial" w:hAnsi="Arial" w:cs="Arial"/>
          <w:sz w:val="24"/>
          <w:szCs w:val="24"/>
        </w:rPr>
        <w:t xml:space="preserve">Se fortaleció el </w:t>
      </w:r>
      <w:r w:rsidR="0080589C" w:rsidRPr="00B57548">
        <w:rPr>
          <w:rFonts w:ascii="Arial" w:hAnsi="Arial" w:cs="Arial"/>
          <w:sz w:val="24"/>
          <w:szCs w:val="24"/>
        </w:rPr>
        <w:t>Modelo Nacional de Vigilancia Comunitaria por Cuadrantes, generando procesos de integración y corresponsabilidad con cerca de 263 líderes comunitarios, y 1910 hogares</w:t>
      </w:r>
      <w:r w:rsidRPr="00B57548">
        <w:rPr>
          <w:rFonts w:ascii="Arial" w:hAnsi="Arial" w:cs="Arial"/>
          <w:sz w:val="24"/>
          <w:szCs w:val="24"/>
        </w:rPr>
        <w:t>.</w:t>
      </w:r>
    </w:p>
    <w:p w:rsidR="00D76AF7" w:rsidRPr="00B57548" w:rsidRDefault="005B4F7D" w:rsidP="00B57548">
      <w:pPr>
        <w:ind w:left="360"/>
        <w:jc w:val="both"/>
        <w:rPr>
          <w:rFonts w:ascii="Arial" w:hAnsi="Arial" w:cs="Arial"/>
          <w:sz w:val="24"/>
          <w:szCs w:val="24"/>
        </w:rPr>
      </w:pPr>
      <w:r w:rsidRPr="00B57548">
        <w:rPr>
          <w:rFonts w:ascii="Arial" w:hAnsi="Arial" w:cs="Arial"/>
          <w:sz w:val="24"/>
          <w:szCs w:val="24"/>
        </w:rPr>
        <w:t xml:space="preserve">Con un promedio anual de </w:t>
      </w:r>
      <w:r w:rsidR="00DA4B55" w:rsidRPr="00B57548">
        <w:rPr>
          <w:rFonts w:ascii="Arial" w:hAnsi="Arial" w:cs="Arial"/>
          <w:sz w:val="24"/>
          <w:szCs w:val="24"/>
        </w:rPr>
        <w:t>70</w:t>
      </w:r>
      <w:r w:rsidRPr="00B57548">
        <w:rPr>
          <w:rFonts w:ascii="Arial" w:hAnsi="Arial" w:cs="Arial"/>
          <w:sz w:val="24"/>
          <w:szCs w:val="24"/>
        </w:rPr>
        <w:t xml:space="preserve"> jornadas ESUS</w:t>
      </w:r>
      <w:r w:rsidR="0080589C" w:rsidRPr="00B57548">
        <w:rPr>
          <w:rFonts w:ascii="Arial" w:hAnsi="Arial" w:cs="Arial"/>
          <w:sz w:val="24"/>
          <w:szCs w:val="24"/>
        </w:rPr>
        <w:t>.</w:t>
      </w:r>
    </w:p>
    <w:p w:rsidR="00934373" w:rsidRPr="00B57548" w:rsidRDefault="00934373" w:rsidP="00B57548">
      <w:pPr>
        <w:ind w:left="360"/>
        <w:jc w:val="both"/>
        <w:rPr>
          <w:rFonts w:ascii="Arial" w:hAnsi="Arial" w:cs="Arial"/>
          <w:sz w:val="24"/>
          <w:szCs w:val="24"/>
        </w:rPr>
      </w:pPr>
      <w:r w:rsidRPr="00B57548">
        <w:rPr>
          <w:rFonts w:ascii="Arial" w:hAnsi="Arial" w:cs="Arial"/>
          <w:b/>
          <w:sz w:val="24"/>
          <w:szCs w:val="24"/>
        </w:rPr>
        <w:t>Núcleos de convivencia y gestores sociales</w:t>
      </w:r>
      <w:r w:rsidRPr="00B57548">
        <w:rPr>
          <w:rFonts w:ascii="Arial" w:hAnsi="Arial" w:cs="Arial"/>
          <w:i/>
          <w:sz w:val="24"/>
          <w:szCs w:val="24"/>
        </w:rPr>
        <w:t>.</w:t>
      </w:r>
      <w:r w:rsidRPr="00B57548">
        <w:rPr>
          <w:rFonts w:ascii="Arial" w:hAnsi="Arial" w:cs="Arial"/>
          <w:sz w:val="24"/>
          <w:szCs w:val="24"/>
        </w:rPr>
        <w:t xml:space="preserve"> Se fortaleció </w:t>
      </w:r>
      <w:r w:rsidR="00DD7621" w:rsidRPr="00B57548">
        <w:rPr>
          <w:rFonts w:ascii="Arial" w:hAnsi="Arial" w:cs="Arial"/>
          <w:sz w:val="24"/>
          <w:szCs w:val="24"/>
        </w:rPr>
        <w:t xml:space="preserve">el </w:t>
      </w:r>
      <w:r w:rsidR="0080589C" w:rsidRPr="00B57548">
        <w:rPr>
          <w:rFonts w:ascii="Arial" w:hAnsi="Arial" w:cs="Arial"/>
          <w:sz w:val="24"/>
          <w:szCs w:val="24"/>
        </w:rPr>
        <w:t xml:space="preserve">capital social comunitario para </w:t>
      </w:r>
      <w:r w:rsidRPr="00B57548">
        <w:rPr>
          <w:rFonts w:ascii="Arial" w:hAnsi="Arial" w:cs="Arial"/>
          <w:sz w:val="24"/>
          <w:szCs w:val="24"/>
        </w:rPr>
        <w:t xml:space="preserve"> la gestión comunitaria</w:t>
      </w:r>
      <w:r w:rsidR="00DD7621" w:rsidRPr="00B57548">
        <w:rPr>
          <w:rFonts w:ascii="Arial" w:hAnsi="Arial" w:cs="Arial"/>
          <w:sz w:val="24"/>
          <w:szCs w:val="24"/>
        </w:rPr>
        <w:t>,</w:t>
      </w:r>
      <w:r w:rsidR="0080589C" w:rsidRPr="00B57548">
        <w:rPr>
          <w:rFonts w:ascii="Arial" w:hAnsi="Arial" w:cs="Arial"/>
          <w:sz w:val="24"/>
          <w:szCs w:val="24"/>
        </w:rPr>
        <w:t xml:space="preserve"> control social y </w:t>
      </w:r>
      <w:r w:rsidRPr="00B57548">
        <w:rPr>
          <w:rFonts w:ascii="Arial" w:hAnsi="Arial" w:cs="Arial"/>
          <w:sz w:val="24"/>
          <w:szCs w:val="24"/>
        </w:rPr>
        <w:t>corresponsabilidad</w:t>
      </w:r>
      <w:r w:rsidR="0080589C" w:rsidRPr="00B57548">
        <w:rPr>
          <w:rFonts w:ascii="Arial" w:hAnsi="Arial" w:cs="Arial"/>
          <w:sz w:val="24"/>
          <w:szCs w:val="24"/>
        </w:rPr>
        <w:t xml:space="preserve"> en la prevención y mantenimiento de las condiciones de seguridad en los territorios intervenidos</w:t>
      </w:r>
      <w:r w:rsidRPr="00B57548">
        <w:rPr>
          <w:rFonts w:ascii="Arial" w:hAnsi="Arial" w:cs="Arial"/>
          <w:sz w:val="24"/>
          <w:szCs w:val="24"/>
        </w:rPr>
        <w:t xml:space="preserve">. </w:t>
      </w:r>
      <w:r w:rsidRPr="00B57548">
        <w:rPr>
          <w:rFonts w:ascii="Arial" w:hAnsi="Arial" w:cs="Arial"/>
          <w:b/>
          <w:sz w:val="24"/>
          <w:szCs w:val="24"/>
        </w:rPr>
        <w:t xml:space="preserve">Cerca de 625 líderes comunitarios se </w:t>
      </w:r>
      <w:r w:rsidR="0080589C" w:rsidRPr="00B57548">
        <w:rPr>
          <w:rFonts w:ascii="Arial" w:hAnsi="Arial" w:cs="Arial"/>
          <w:b/>
          <w:sz w:val="24"/>
          <w:szCs w:val="24"/>
        </w:rPr>
        <w:t>formaron</w:t>
      </w:r>
      <w:r w:rsidRPr="00B57548">
        <w:rPr>
          <w:rFonts w:ascii="Arial" w:hAnsi="Arial" w:cs="Arial"/>
          <w:b/>
          <w:sz w:val="24"/>
          <w:szCs w:val="24"/>
        </w:rPr>
        <w:t xml:space="preserve"> en Gestión Co</w:t>
      </w:r>
      <w:r w:rsidR="0080589C" w:rsidRPr="00B57548">
        <w:rPr>
          <w:rFonts w:ascii="Arial" w:hAnsi="Arial" w:cs="Arial"/>
          <w:b/>
          <w:sz w:val="24"/>
          <w:szCs w:val="24"/>
        </w:rPr>
        <w:t>munitaria para la Seguridad</w:t>
      </w:r>
      <w:r w:rsidRPr="00B57548">
        <w:rPr>
          <w:rFonts w:ascii="Arial" w:hAnsi="Arial" w:cs="Arial"/>
          <w:b/>
          <w:sz w:val="24"/>
          <w:szCs w:val="24"/>
        </w:rPr>
        <w:t>, en la que se realizaron 90 Talleres en 18 barrios priorizados ESUS.</w:t>
      </w:r>
      <w:r w:rsidR="0080589C" w:rsidRPr="00B57548">
        <w:rPr>
          <w:rFonts w:ascii="Arial" w:hAnsi="Arial" w:cs="Arial"/>
          <w:b/>
          <w:sz w:val="24"/>
          <w:szCs w:val="24"/>
        </w:rPr>
        <w:t xml:space="preserve"> Un total de 3798 miembros  de la comunidad  participaron en la gestión del programa ESUS</w:t>
      </w:r>
      <w:r w:rsidR="0080589C" w:rsidRPr="00B57548">
        <w:rPr>
          <w:rFonts w:ascii="Arial" w:hAnsi="Arial" w:cs="Arial"/>
          <w:sz w:val="24"/>
          <w:szCs w:val="24"/>
        </w:rPr>
        <w:t>.</w:t>
      </w:r>
    </w:p>
    <w:p w:rsidR="00EC71F9" w:rsidRPr="00B57548" w:rsidRDefault="0080589C" w:rsidP="00B57548">
      <w:pPr>
        <w:spacing w:after="0" w:line="240" w:lineRule="auto"/>
        <w:ind w:left="360"/>
        <w:jc w:val="both"/>
        <w:rPr>
          <w:rFonts w:ascii="Arial" w:hAnsi="Arial" w:cs="Arial"/>
          <w:b/>
          <w:sz w:val="24"/>
          <w:szCs w:val="24"/>
        </w:rPr>
      </w:pPr>
      <w:r w:rsidRPr="00B57548">
        <w:rPr>
          <w:rFonts w:ascii="Arial" w:hAnsi="Arial" w:cs="Arial"/>
          <w:b/>
          <w:sz w:val="24"/>
          <w:szCs w:val="24"/>
        </w:rPr>
        <w:t xml:space="preserve">Sistema Social de Alertas tempranas y fortalecimiento de los frentes de seguridad. </w:t>
      </w:r>
      <w:r w:rsidRPr="00B57548">
        <w:rPr>
          <w:rFonts w:ascii="Arial" w:hAnsi="Arial" w:cs="Arial"/>
          <w:sz w:val="24"/>
          <w:szCs w:val="24"/>
        </w:rPr>
        <w:t xml:space="preserve">Se </w:t>
      </w:r>
      <w:r w:rsidR="00EC71F9" w:rsidRPr="00B57548">
        <w:rPr>
          <w:rFonts w:ascii="Arial" w:hAnsi="Arial" w:cs="Arial"/>
          <w:sz w:val="24"/>
          <w:szCs w:val="24"/>
        </w:rPr>
        <w:t>diseñó</w:t>
      </w:r>
      <w:r w:rsidRPr="00B57548">
        <w:rPr>
          <w:rFonts w:ascii="Arial" w:hAnsi="Arial" w:cs="Arial"/>
          <w:sz w:val="24"/>
          <w:szCs w:val="24"/>
        </w:rPr>
        <w:t xml:space="preserve"> como mecanismo de</w:t>
      </w:r>
      <w:r w:rsidRPr="00B57548">
        <w:rPr>
          <w:rFonts w:ascii="Arial" w:hAnsi="Arial" w:cs="Arial"/>
          <w:i/>
          <w:sz w:val="24"/>
          <w:szCs w:val="24"/>
        </w:rPr>
        <w:t xml:space="preserve"> </w:t>
      </w:r>
      <w:r w:rsidR="00465E0C" w:rsidRPr="00B57548">
        <w:rPr>
          <w:rFonts w:ascii="Arial" w:hAnsi="Arial" w:cs="Arial"/>
          <w:sz w:val="24"/>
          <w:szCs w:val="24"/>
        </w:rPr>
        <w:t>control  y vigilancia comunitaria</w:t>
      </w:r>
      <w:r w:rsidRPr="00B57548">
        <w:rPr>
          <w:rFonts w:ascii="Arial" w:hAnsi="Arial" w:cs="Arial"/>
          <w:i/>
          <w:sz w:val="24"/>
          <w:szCs w:val="24"/>
        </w:rPr>
        <w:t xml:space="preserve">. </w:t>
      </w:r>
      <w:r w:rsidRPr="00B57548">
        <w:rPr>
          <w:rFonts w:ascii="Arial" w:hAnsi="Arial" w:cs="Arial"/>
          <w:sz w:val="24"/>
          <w:szCs w:val="24"/>
        </w:rPr>
        <w:t>Se articularon</w:t>
      </w:r>
      <w:r w:rsidRPr="00B57548">
        <w:rPr>
          <w:rFonts w:ascii="Arial" w:hAnsi="Arial" w:cs="Arial"/>
          <w:i/>
          <w:sz w:val="24"/>
          <w:szCs w:val="24"/>
        </w:rPr>
        <w:t xml:space="preserve"> </w:t>
      </w:r>
      <w:r w:rsidR="00A17D42" w:rsidRPr="00B57548">
        <w:rPr>
          <w:rFonts w:ascii="Arial" w:hAnsi="Arial" w:cs="Arial"/>
          <w:sz w:val="24"/>
          <w:szCs w:val="24"/>
        </w:rPr>
        <w:t xml:space="preserve">Juntas de Acción Comunal, Empresas del sector portuario, líderes naturales, madres comunitarias, organizaciones juveniles y comunitarias, comerciantes, docentes, estudiantes, y vecinos de los territorios intervenidos situacionalmente. </w:t>
      </w:r>
      <w:r w:rsidR="00EC71F9" w:rsidRPr="00B57548">
        <w:rPr>
          <w:rFonts w:ascii="Arial" w:hAnsi="Arial" w:cs="Arial"/>
          <w:b/>
          <w:sz w:val="24"/>
          <w:szCs w:val="24"/>
        </w:rPr>
        <w:t>Se entregaron 700 alarmas y 36000 Avanteles para fortalecer el trabajo de los Sistemas Sociales de Alertas Tempranas-SSAT-  con las autoridades de Policía.  Se conformaron 432 frentes de seguridad con 3500 miembros de las redes de apoyo y 20.342 miembros activos de los frentes de seguridad.</w:t>
      </w:r>
    </w:p>
    <w:p w:rsidR="00465E0C" w:rsidRPr="00B57548" w:rsidRDefault="00465E0C" w:rsidP="00B57548">
      <w:pPr>
        <w:pStyle w:val="Prrafodelista"/>
        <w:ind w:left="360"/>
        <w:jc w:val="both"/>
        <w:rPr>
          <w:rFonts w:ascii="Arial" w:hAnsi="Arial" w:cs="Arial"/>
          <w:b/>
          <w:sz w:val="24"/>
          <w:szCs w:val="24"/>
        </w:rPr>
      </w:pPr>
    </w:p>
    <w:p w:rsidR="00A85680" w:rsidRPr="00B57548" w:rsidRDefault="00A85680" w:rsidP="00B57548">
      <w:pPr>
        <w:pStyle w:val="Prrafodelista"/>
        <w:ind w:left="360"/>
        <w:jc w:val="both"/>
        <w:rPr>
          <w:rFonts w:ascii="Arial" w:hAnsi="Arial" w:cs="Arial"/>
          <w:sz w:val="24"/>
          <w:szCs w:val="24"/>
          <w:highlight w:val="yellow"/>
        </w:rPr>
      </w:pPr>
      <w:r w:rsidRPr="00B57548">
        <w:rPr>
          <w:rFonts w:ascii="Arial" w:hAnsi="Arial" w:cs="Arial"/>
          <w:b/>
          <w:sz w:val="24"/>
          <w:szCs w:val="24"/>
        </w:rPr>
        <w:t>Estrategia Todos contra el Hurto.</w:t>
      </w:r>
      <w:r w:rsidRPr="00B57548">
        <w:rPr>
          <w:rFonts w:ascii="Arial" w:hAnsi="Arial" w:cs="Arial"/>
          <w:sz w:val="24"/>
          <w:szCs w:val="24"/>
        </w:rPr>
        <w:t xml:space="preserve"> Articulados con la Policía  Nacional </w:t>
      </w:r>
      <w:r w:rsidR="00DD7621" w:rsidRPr="00B57548">
        <w:rPr>
          <w:rFonts w:ascii="Arial" w:hAnsi="Arial" w:cs="Arial"/>
          <w:sz w:val="24"/>
          <w:szCs w:val="24"/>
        </w:rPr>
        <w:t>se</w:t>
      </w:r>
      <w:r w:rsidRPr="00B57548">
        <w:rPr>
          <w:rFonts w:ascii="Arial" w:hAnsi="Arial" w:cs="Arial"/>
          <w:sz w:val="24"/>
          <w:szCs w:val="24"/>
        </w:rPr>
        <w:t xml:space="preserve"> </w:t>
      </w:r>
      <w:r w:rsidR="003B0133" w:rsidRPr="00B57548">
        <w:rPr>
          <w:rFonts w:ascii="Arial" w:hAnsi="Arial" w:cs="Arial"/>
          <w:sz w:val="24"/>
          <w:szCs w:val="24"/>
        </w:rPr>
        <w:t>realizó</w:t>
      </w:r>
      <w:r w:rsidRPr="00B57548">
        <w:rPr>
          <w:rFonts w:ascii="Arial" w:hAnsi="Arial" w:cs="Arial"/>
          <w:sz w:val="24"/>
          <w:szCs w:val="24"/>
        </w:rPr>
        <w:t xml:space="preserve"> un diagnóstico de seguridad y convivencia en los barrios Las Nieves, Centro, Boston, Altos del Prado y Ciudad Jardín.  A través de esta metodología se logró identificar y atender los factores de riesgo que prevalecen en las áreas críticas señaladas por la comunidad, generando procesos de acercamiento entre la Policía del Cuadrante y la comunidad a través de </w:t>
      </w:r>
      <w:r w:rsidRPr="00B57548">
        <w:rPr>
          <w:rFonts w:ascii="Arial" w:hAnsi="Arial" w:cs="Arial"/>
          <w:b/>
          <w:sz w:val="24"/>
          <w:szCs w:val="24"/>
        </w:rPr>
        <w:t>acciones pedagógicas en 300 hogares y establecimientos comerciales de las áreas priorizadas por la estrategia.</w:t>
      </w:r>
      <w:r w:rsidRPr="00B57548">
        <w:rPr>
          <w:rFonts w:ascii="Arial" w:hAnsi="Arial" w:cs="Arial"/>
          <w:sz w:val="24"/>
          <w:szCs w:val="24"/>
          <w:highlight w:val="yellow"/>
        </w:rPr>
        <w:t xml:space="preserve"> </w:t>
      </w:r>
    </w:p>
    <w:p w:rsidR="004F2DD8" w:rsidRPr="00B57548" w:rsidRDefault="004F2DD8" w:rsidP="00B57548">
      <w:pPr>
        <w:pStyle w:val="Prrafodelista"/>
        <w:jc w:val="both"/>
        <w:rPr>
          <w:rFonts w:ascii="Arial" w:hAnsi="Arial" w:cs="Arial"/>
          <w:b/>
          <w:sz w:val="24"/>
          <w:szCs w:val="24"/>
        </w:rPr>
      </w:pPr>
    </w:p>
    <w:p w:rsidR="002130B1" w:rsidRPr="00B57548" w:rsidRDefault="002130B1" w:rsidP="00B57548">
      <w:pPr>
        <w:pStyle w:val="Prrafodelista"/>
        <w:jc w:val="both"/>
        <w:rPr>
          <w:rFonts w:ascii="Arial" w:hAnsi="Arial" w:cs="Arial"/>
          <w:b/>
          <w:i/>
          <w:sz w:val="24"/>
          <w:szCs w:val="24"/>
        </w:rPr>
      </w:pPr>
      <w:r w:rsidRPr="00B57548">
        <w:rPr>
          <w:rFonts w:ascii="Arial" w:hAnsi="Arial" w:cs="Arial"/>
          <w:b/>
          <w:i/>
          <w:sz w:val="24"/>
          <w:szCs w:val="24"/>
        </w:rPr>
        <w:t>Intervención social</w:t>
      </w:r>
    </w:p>
    <w:p w:rsidR="002C62A8" w:rsidRPr="00B57548" w:rsidRDefault="002130B1" w:rsidP="00B57548">
      <w:pPr>
        <w:ind w:left="284"/>
        <w:jc w:val="both"/>
        <w:rPr>
          <w:rFonts w:ascii="Arial" w:eastAsia="Times New Roman" w:hAnsi="Arial" w:cs="Arial"/>
          <w:sz w:val="24"/>
          <w:szCs w:val="24"/>
          <w:lang w:eastAsia="es-CO"/>
        </w:rPr>
      </w:pPr>
      <w:r w:rsidRPr="00B57548">
        <w:rPr>
          <w:rFonts w:ascii="Arial" w:hAnsi="Arial" w:cs="Arial"/>
          <w:b/>
          <w:sz w:val="24"/>
          <w:szCs w:val="24"/>
        </w:rPr>
        <w:t>Desde el Fondo de Seguridad se estructuró y realizó la inversión</w:t>
      </w:r>
      <w:r w:rsidR="00D4678E" w:rsidRPr="00B57548">
        <w:rPr>
          <w:rFonts w:ascii="Arial" w:hAnsi="Arial" w:cs="Arial"/>
          <w:b/>
          <w:sz w:val="24"/>
          <w:szCs w:val="24"/>
        </w:rPr>
        <w:t xml:space="preserve"> social en población de alto riesgo, pacificación de pandillas  e interrupción de carreras criminales</w:t>
      </w:r>
      <w:r w:rsidRPr="00B57548">
        <w:rPr>
          <w:rFonts w:ascii="Arial" w:hAnsi="Arial" w:cs="Arial"/>
          <w:b/>
          <w:sz w:val="24"/>
          <w:szCs w:val="24"/>
        </w:rPr>
        <w:t xml:space="preserve"> de jóvenes.</w:t>
      </w:r>
      <w:r w:rsidR="002C62A8" w:rsidRPr="00B57548">
        <w:rPr>
          <w:rFonts w:ascii="Arial" w:hAnsi="Arial" w:cs="Arial"/>
          <w:sz w:val="24"/>
          <w:szCs w:val="24"/>
        </w:rPr>
        <w:t xml:space="preserve"> Se creó en </w:t>
      </w:r>
      <w:r w:rsidR="002C62A8" w:rsidRPr="00B57548">
        <w:rPr>
          <w:rFonts w:ascii="Arial" w:hAnsi="Arial" w:cs="Arial"/>
          <w:sz w:val="24"/>
          <w:szCs w:val="24"/>
          <w:u w:color="000000"/>
          <w:lang w:val="es-ES_tradnl"/>
        </w:rPr>
        <w:t>e</w:t>
      </w:r>
      <w:r w:rsidR="00197F31" w:rsidRPr="00B57548">
        <w:rPr>
          <w:rFonts w:ascii="Arial" w:hAnsi="Arial" w:cs="Arial"/>
          <w:sz w:val="24"/>
          <w:szCs w:val="24"/>
          <w:u w:color="000000"/>
          <w:lang w:val="es-ES_tradnl"/>
        </w:rPr>
        <w:t>l</w:t>
      </w:r>
      <w:r w:rsidR="002C62A8" w:rsidRPr="00B57548">
        <w:rPr>
          <w:rFonts w:ascii="Arial" w:hAnsi="Arial" w:cs="Arial"/>
          <w:sz w:val="24"/>
          <w:szCs w:val="24"/>
          <w:u w:color="000000"/>
          <w:lang w:val="es-ES_tradnl"/>
        </w:rPr>
        <w:t xml:space="preserve"> 2012</w:t>
      </w:r>
      <w:r w:rsidR="00197F31" w:rsidRPr="00B57548">
        <w:rPr>
          <w:rFonts w:ascii="Arial" w:hAnsi="Arial" w:cs="Arial"/>
          <w:sz w:val="24"/>
          <w:szCs w:val="24"/>
          <w:u w:color="000000"/>
          <w:lang w:val="es-ES_tradnl"/>
        </w:rPr>
        <w:t xml:space="preserve"> el programa</w:t>
      </w:r>
      <w:r w:rsidR="002C62A8" w:rsidRPr="00B57548">
        <w:rPr>
          <w:rFonts w:ascii="Arial" w:hAnsi="Arial" w:cs="Arial"/>
          <w:sz w:val="24"/>
          <w:szCs w:val="24"/>
          <w:u w:color="000000"/>
          <w:lang w:val="es-ES_tradnl"/>
        </w:rPr>
        <w:t xml:space="preserve"> “Va J</w:t>
      </w:r>
      <w:r w:rsidR="00197F31" w:rsidRPr="00B57548">
        <w:rPr>
          <w:rFonts w:ascii="Arial" w:hAnsi="Arial" w:cs="Arial"/>
          <w:sz w:val="24"/>
          <w:szCs w:val="24"/>
          <w:u w:color="000000"/>
          <w:lang w:val="es-ES_tradnl"/>
        </w:rPr>
        <w:t xml:space="preserve">ugando” </w:t>
      </w:r>
      <w:r w:rsidR="00197F31" w:rsidRPr="00B57548">
        <w:rPr>
          <w:rFonts w:ascii="Arial" w:hAnsi="Arial" w:cs="Arial"/>
          <w:sz w:val="24"/>
          <w:szCs w:val="24"/>
          <w:u w:color="000000"/>
          <w:lang w:val="es-ES_tradnl"/>
        </w:rPr>
        <w:lastRenderedPageBreak/>
        <w:t>c</w:t>
      </w:r>
      <w:r w:rsidR="002C62A8" w:rsidRPr="00B57548">
        <w:rPr>
          <w:rFonts w:ascii="Arial" w:hAnsi="Arial" w:cs="Arial"/>
          <w:sz w:val="24"/>
          <w:szCs w:val="24"/>
          <w:u w:color="000000"/>
          <w:lang w:val="es-ES_tradnl"/>
        </w:rPr>
        <w:t xml:space="preserve">on </w:t>
      </w:r>
      <w:r w:rsidR="00D50BE3" w:rsidRPr="00B57548">
        <w:rPr>
          <w:rFonts w:ascii="Arial" w:hAnsi="Arial" w:cs="Arial"/>
          <w:sz w:val="24"/>
          <w:szCs w:val="24"/>
          <w:u w:color="000000"/>
          <w:lang w:val="es-ES_tradnl"/>
        </w:rPr>
        <w:t>este propósito con</w:t>
      </w:r>
      <w:r w:rsidR="002C62A8" w:rsidRPr="00B57548">
        <w:rPr>
          <w:rFonts w:ascii="Arial" w:eastAsia="Times New Roman" w:hAnsi="Arial" w:cs="Arial"/>
          <w:bCs/>
          <w:sz w:val="24"/>
          <w:szCs w:val="24"/>
          <w:lang w:eastAsia="es-CO"/>
        </w:rPr>
        <w:t xml:space="preserve"> énfasis en los niños, niñas, adolescentes y jóvenes, de los sectores vulnerables del Distrito de Barranquilla.</w:t>
      </w:r>
    </w:p>
    <w:p w:rsidR="002C62A8" w:rsidRPr="00B57548" w:rsidRDefault="00197F31" w:rsidP="00B57548">
      <w:pPr>
        <w:shd w:val="clear" w:color="auto" w:fill="FFFFFF"/>
        <w:spacing w:after="0" w:line="240" w:lineRule="auto"/>
        <w:ind w:left="284"/>
        <w:jc w:val="both"/>
        <w:rPr>
          <w:rFonts w:ascii="Arial" w:eastAsia="Times New Roman" w:hAnsi="Arial" w:cs="Arial"/>
          <w:sz w:val="24"/>
          <w:szCs w:val="24"/>
          <w:lang w:val="es-ES_tradnl" w:eastAsia="es-CO"/>
        </w:rPr>
      </w:pPr>
      <w:r w:rsidRPr="00B57548">
        <w:rPr>
          <w:rFonts w:ascii="Arial" w:eastAsia="Times New Roman" w:hAnsi="Arial" w:cs="Arial"/>
          <w:sz w:val="24"/>
          <w:szCs w:val="24"/>
          <w:lang w:eastAsia="es-CO"/>
        </w:rPr>
        <w:t xml:space="preserve">Un total de </w:t>
      </w:r>
      <w:r w:rsidR="002C62A8" w:rsidRPr="00B57548">
        <w:rPr>
          <w:rFonts w:ascii="Arial" w:hAnsi="Arial" w:cs="Arial"/>
          <w:sz w:val="24"/>
          <w:szCs w:val="24"/>
          <w:u w:color="000000"/>
          <w:lang w:val="es-ES_tradnl"/>
        </w:rPr>
        <w:t xml:space="preserve"> 2.600 jóvenes de 95 grupos de pandillas en 2012</w:t>
      </w:r>
      <w:r w:rsidRPr="00B57548">
        <w:rPr>
          <w:rFonts w:ascii="Arial" w:hAnsi="Arial" w:cs="Arial"/>
          <w:sz w:val="24"/>
          <w:szCs w:val="24"/>
          <w:u w:color="000000"/>
          <w:lang w:val="es-ES_tradnl"/>
        </w:rPr>
        <w:t xml:space="preserve"> fueron caracterizados e invitados  a vincularse al programa, de las cuales u</w:t>
      </w:r>
      <w:r w:rsidR="002C62A8" w:rsidRPr="00B57548">
        <w:rPr>
          <w:rFonts w:ascii="Arial" w:hAnsi="Arial" w:cs="Arial"/>
          <w:sz w:val="24"/>
          <w:szCs w:val="24"/>
          <w:u w:color="000000"/>
          <w:lang w:val="es-ES_tradnl"/>
        </w:rPr>
        <w:t xml:space="preserve">na de cada tres pandillas se vinculó al programa, iniciando así con 32 pandillas.  En 2013 se amplió a  750 participantes, especialmente miembros de pandillas de localidades 1, 2 y 3 del distrito; </w:t>
      </w:r>
      <w:r w:rsidR="00AB74AF" w:rsidRPr="00B57548">
        <w:rPr>
          <w:rFonts w:ascii="Arial" w:hAnsi="Arial" w:cs="Arial"/>
          <w:sz w:val="24"/>
          <w:szCs w:val="24"/>
          <w:u w:color="000000"/>
          <w:lang w:val="es-ES_tradnl"/>
        </w:rPr>
        <w:t xml:space="preserve">logrando al primer semestre del </w:t>
      </w:r>
      <w:r w:rsidR="002C62A8" w:rsidRPr="00B57548">
        <w:rPr>
          <w:rFonts w:ascii="Arial" w:hAnsi="Arial" w:cs="Arial"/>
          <w:sz w:val="24"/>
          <w:szCs w:val="24"/>
          <w:u w:color="000000"/>
          <w:lang w:val="es-ES_tradnl"/>
        </w:rPr>
        <w:t xml:space="preserve"> 2015 </w:t>
      </w:r>
      <w:r w:rsidR="00AB74AF" w:rsidRPr="00B57548">
        <w:rPr>
          <w:rFonts w:ascii="Arial" w:hAnsi="Arial" w:cs="Arial"/>
          <w:sz w:val="24"/>
          <w:szCs w:val="24"/>
          <w:u w:color="000000"/>
          <w:lang w:val="es-ES_tradnl"/>
        </w:rPr>
        <w:t xml:space="preserve">cobertura del 100% de las </w:t>
      </w:r>
      <w:r w:rsidR="002C62A8" w:rsidRPr="00B57548">
        <w:rPr>
          <w:rFonts w:ascii="Arial" w:hAnsi="Arial" w:cs="Arial"/>
          <w:sz w:val="24"/>
          <w:szCs w:val="24"/>
          <w:u w:color="000000"/>
          <w:lang w:val="es-ES_tradnl"/>
        </w:rPr>
        <w:t>pandillas caracterizadas en 2012 y a 1.300 jóvenes que pertenecen a ellas.</w:t>
      </w:r>
    </w:p>
    <w:p w:rsidR="002C62A8" w:rsidRPr="00B57548" w:rsidRDefault="002C62A8" w:rsidP="00B57548">
      <w:pPr>
        <w:shd w:val="clear" w:color="auto" w:fill="FFFFFF"/>
        <w:spacing w:after="0" w:line="240" w:lineRule="auto"/>
        <w:ind w:left="284"/>
        <w:jc w:val="both"/>
        <w:rPr>
          <w:rFonts w:ascii="Arial" w:eastAsia="Times New Roman" w:hAnsi="Arial" w:cs="Arial"/>
          <w:sz w:val="24"/>
          <w:szCs w:val="24"/>
          <w:lang w:val="es-ES_tradnl" w:eastAsia="es-CO"/>
        </w:rPr>
      </w:pPr>
    </w:p>
    <w:p w:rsidR="002C62A8" w:rsidRPr="00B57548" w:rsidRDefault="002C62A8"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eastAsia="Arial Bold" w:hAnsi="Arial" w:cs="Arial"/>
          <w:caps/>
          <w:color w:val="auto"/>
          <w:sz w:val="24"/>
          <w:szCs w:val="24"/>
          <w:u w:color="000000"/>
          <w:lang w:val="es-ES_tradnl"/>
        </w:rPr>
      </w:pPr>
      <w:r w:rsidRPr="00B57548">
        <w:rPr>
          <w:rFonts w:ascii="Arial" w:hAnsi="Arial" w:cs="Arial"/>
          <w:color w:val="auto"/>
          <w:sz w:val="24"/>
          <w:szCs w:val="24"/>
          <w:u w:color="000000"/>
          <w:lang w:val="es-ES_tradnl"/>
        </w:rPr>
        <w:t>Es así como hoy se cuenta con cerca de 103 pandillas intervenidas en 4 localidades: metropolitana, suroccidente, suroriente y Riomar (corregimiento la playa), afectando positivamente a barrios como Carrizal, San Luis, Las Américas, Santo Domingo, Santuario 7 abril, Ciudadela 20 Julio, Santa María, La Sierrita; El Bosque, La Chinita, La Luz y Rebolo, Villa Norte, Villa Esperanza,  Villa del Mar, Olaya, Palo Alto y La Cantera.</w:t>
      </w:r>
    </w:p>
    <w:p w:rsidR="002C62A8" w:rsidRPr="00B57548" w:rsidRDefault="002C62A8" w:rsidP="00B57548">
      <w:pPr>
        <w:shd w:val="clear" w:color="auto" w:fill="FFFFFF"/>
        <w:spacing w:after="0" w:line="240" w:lineRule="auto"/>
        <w:ind w:left="284"/>
        <w:jc w:val="both"/>
        <w:rPr>
          <w:rFonts w:ascii="Arial" w:eastAsia="Times New Roman" w:hAnsi="Arial" w:cs="Arial"/>
          <w:sz w:val="24"/>
          <w:szCs w:val="24"/>
          <w:lang w:val="es-ES_tradnl" w:eastAsia="es-CO"/>
        </w:rPr>
      </w:pPr>
    </w:p>
    <w:p w:rsidR="002C62A8" w:rsidRPr="00B57548" w:rsidRDefault="00465E0C"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hAnsi="Arial" w:cs="Arial"/>
          <w:caps/>
          <w:color w:val="auto"/>
          <w:sz w:val="24"/>
          <w:szCs w:val="24"/>
          <w:u w:color="000000"/>
          <w:lang w:val="es-ES_tradnl"/>
        </w:rPr>
      </w:pPr>
      <w:r w:rsidRPr="00B57548">
        <w:rPr>
          <w:rFonts w:ascii="Arial" w:hAnsi="Arial" w:cs="Arial"/>
          <w:color w:val="auto"/>
          <w:sz w:val="24"/>
          <w:szCs w:val="24"/>
          <w:u w:color="000000"/>
          <w:lang w:val="es-ES_tradnl"/>
        </w:rPr>
        <w:t>“V</w:t>
      </w:r>
      <w:r w:rsidR="002C62A8" w:rsidRPr="00B57548">
        <w:rPr>
          <w:rFonts w:ascii="Arial" w:hAnsi="Arial" w:cs="Arial"/>
          <w:color w:val="auto"/>
          <w:sz w:val="24"/>
          <w:szCs w:val="24"/>
          <w:u w:color="000000"/>
          <w:lang w:val="es-ES_tradnl"/>
        </w:rPr>
        <w:t>a jugando”se fundamenta en 5 estrategias: vínculos, resiliencia y participación comunitaria, fútbol callejero, capital social y cultural y restablecimiento de derechos</w:t>
      </w:r>
      <w:r w:rsidR="00785E24" w:rsidRPr="00B57548">
        <w:rPr>
          <w:rFonts w:ascii="Arial" w:hAnsi="Arial" w:cs="Arial"/>
          <w:color w:val="auto"/>
          <w:sz w:val="24"/>
          <w:szCs w:val="24"/>
          <w:u w:color="000000"/>
          <w:lang w:val="es-ES_tradnl"/>
        </w:rPr>
        <w:t xml:space="preserve">  </w:t>
      </w:r>
      <w:r w:rsidR="00785E24" w:rsidRPr="00B57548">
        <w:rPr>
          <w:rFonts w:ascii="Arial" w:hAnsi="Arial" w:cs="Arial"/>
          <w:b/>
          <w:color w:val="auto"/>
          <w:sz w:val="24"/>
          <w:szCs w:val="24"/>
          <w:u w:color="000000"/>
          <w:lang w:val="es-ES_tradnl"/>
        </w:rPr>
        <w:t xml:space="preserve">que desde el Fondo de seguridad se financiaron garantizando la integralidad y continuidad de </w:t>
      </w:r>
      <w:r w:rsidR="00AB74AF" w:rsidRPr="00B57548">
        <w:rPr>
          <w:rFonts w:ascii="Arial" w:hAnsi="Arial" w:cs="Arial"/>
          <w:b/>
          <w:color w:val="auto"/>
          <w:sz w:val="24"/>
          <w:szCs w:val="24"/>
          <w:u w:color="000000"/>
          <w:lang w:val="es-ES_tradnl"/>
        </w:rPr>
        <w:t>l</w:t>
      </w:r>
      <w:r w:rsidR="00785E24" w:rsidRPr="00B57548">
        <w:rPr>
          <w:rFonts w:ascii="Arial" w:hAnsi="Arial" w:cs="Arial"/>
          <w:b/>
          <w:color w:val="auto"/>
          <w:sz w:val="24"/>
          <w:szCs w:val="24"/>
          <w:u w:color="000000"/>
          <w:lang w:val="es-ES_tradnl"/>
        </w:rPr>
        <w:t>a intervención para mayor eficacia del modelo</w:t>
      </w:r>
      <w:r w:rsidR="00785E24" w:rsidRPr="00B57548">
        <w:rPr>
          <w:rFonts w:ascii="Arial" w:hAnsi="Arial" w:cs="Arial"/>
          <w:color w:val="auto"/>
          <w:sz w:val="24"/>
          <w:szCs w:val="24"/>
          <w:u w:color="000000"/>
          <w:lang w:val="es-ES_tradnl"/>
        </w:rPr>
        <w:t>.</w:t>
      </w:r>
    </w:p>
    <w:p w:rsidR="002C62A8" w:rsidRPr="00B57548" w:rsidRDefault="002C62A8"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hAnsi="Arial" w:cs="Arial"/>
          <w:caps/>
          <w:color w:val="auto"/>
          <w:sz w:val="24"/>
          <w:szCs w:val="24"/>
          <w:u w:color="000000"/>
          <w:lang w:val="es-ES_tradnl"/>
        </w:rPr>
      </w:pPr>
    </w:p>
    <w:p w:rsidR="002C62A8" w:rsidRPr="00B57548" w:rsidRDefault="00785E24"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eastAsia="Arial Bold" w:hAnsi="Arial" w:cs="Arial"/>
          <w:caps/>
          <w:color w:val="auto"/>
          <w:sz w:val="24"/>
          <w:szCs w:val="24"/>
          <w:u w:color="000000"/>
          <w:lang w:val="es-ES_tradnl"/>
        </w:rPr>
      </w:pPr>
      <w:r w:rsidRPr="00B57548">
        <w:rPr>
          <w:rFonts w:ascii="Arial" w:hAnsi="Arial" w:cs="Arial"/>
          <w:b/>
          <w:color w:val="auto"/>
          <w:sz w:val="24"/>
          <w:szCs w:val="24"/>
          <w:u w:color="000000"/>
          <w:lang w:val="es-ES_tradnl"/>
        </w:rPr>
        <w:t xml:space="preserve">Se dio </w:t>
      </w:r>
      <w:r w:rsidR="002C62A8" w:rsidRPr="00B57548">
        <w:rPr>
          <w:rFonts w:ascii="Arial" w:hAnsi="Arial" w:cs="Arial"/>
          <w:b/>
          <w:color w:val="auto"/>
          <w:sz w:val="24"/>
          <w:szCs w:val="24"/>
          <w:u w:color="000000"/>
          <w:lang w:val="es-ES_tradnl"/>
        </w:rPr>
        <w:t>atención psicosocial integral</w:t>
      </w:r>
      <w:r w:rsidR="002C62A8" w:rsidRPr="00B57548">
        <w:rPr>
          <w:rFonts w:ascii="Arial" w:hAnsi="Arial" w:cs="Arial"/>
          <w:color w:val="auto"/>
          <w:sz w:val="24"/>
          <w:szCs w:val="24"/>
          <w:u w:color="000000"/>
          <w:lang w:val="es-ES_tradnl"/>
        </w:rPr>
        <w:t xml:space="preserve"> a los jóvenes para fortalecer vínculos personales, sociales y familiares, y hacer intervenciones en crisis individuales, familiares y colectivas. </w:t>
      </w:r>
      <w:r w:rsidR="00AB74AF" w:rsidRPr="00B57548">
        <w:rPr>
          <w:rFonts w:ascii="Arial" w:hAnsi="Arial" w:cs="Arial"/>
          <w:b/>
          <w:color w:val="auto"/>
          <w:sz w:val="24"/>
          <w:szCs w:val="24"/>
          <w:u w:color="000000"/>
          <w:lang w:val="es-ES_tradnl"/>
        </w:rPr>
        <w:t>Se trabajó en el</w:t>
      </w:r>
      <w:r w:rsidR="00AB74AF" w:rsidRPr="00B57548">
        <w:rPr>
          <w:rFonts w:ascii="Arial" w:hAnsi="Arial" w:cs="Arial"/>
          <w:color w:val="auto"/>
          <w:sz w:val="24"/>
          <w:szCs w:val="24"/>
          <w:u w:color="000000"/>
          <w:lang w:val="es-ES_tradnl"/>
        </w:rPr>
        <w:t xml:space="preserve"> r</w:t>
      </w:r>
      <w:r w:rsidR="00AB74AF" w:rsidRPr="00B57548">
        <w:rPr>
          <w:rFonts w:ascii="Arial" w:hAnsi="Arial" w:cs="Arial"/>
          <w:b/>
          <w:color w:val="auto"/>
          <w:sz w:val="24"/>
          <w:szCs w:val="24"/>
          <w:u w:color="000000"/>
          <w:lang w:val="es-ES_tradnl"/>
        </w:rPr>
        <w:t>establecimiento de derechos</w:t>
      </w:r>
      <w:r w:rsidR="00AB74AF" w:rsidRPr="00B57548">
        <w:rPr>
          <w:rFonts w:ascii="Arial" w:hAnsi="Arial" w:cs="Arial"/>
          <w:color w:val="auto"/>
          <w:sz w:val="24"/>
          <w:szCs w:val="24"/>
          <w:u w:color="000000"/>
          <w:lang w:val="es-ES_tradnl"/>
        </w:rPr>
        <w:t xml:space="preserve"> en el entendido que la violencia niega derechos, y por eso facilitamos el acceso a la oferta de salud, educación, formación para el trabajo y empleabilidad a los jóvenes participantes, y sus núcleos familiares, para que se den cuenta de que una vida digna y en paz es posible. </w:t>
      </w:r>
      <w:r w:rsidR="00AB74AF" w:rsidRPr="00B57548">
        <w:rPr>
          <w:rFonts w:ascii="Arial" w:eastAsia="Arial Bold" w:hAnsi="Arial" w:cs="Arial"/>
          <w:color w:val="auto"/>
          <w:sz w:val="24"/>
          <w:szCs w:val="24"/>
          <w:u w:color="000000"/>
          <w:lang w:val="es-ES_tradnl"/>
        </w:rPr>
        <w:t>Hoy tenemos, más de 150 jóvenes realizando exámenes y/o entrevistas para vincularse a empleos formales en empresas de la ciudad a través del centro de oportunidades.  Más de 300 jóvenes capacitados en competencias laborales alternativas como el tatuaje, peluquería, corte urbano, belleza y reciclaje.</w:t>
      </w:r>
      <w:r w:rsidR="00990DFA" w:rsidRPr="00B57548">
        <w:rPr>
          <w:rFonts w:ascii="Arial" w:eastAsia="Arial Bold" w:hAnsi="Arial" w:cs="Arial"/>
          <w:color w:val="auto"/>
          <w:sz w:val="24"/>
          <w:szCs w:val="24"/>
          <w:u w:color="000000"/>
          <w:lang w:val="es-ES_tradnl"/>
        </w:rPr>
        <w:t xml:space="preserve"> Un total de</w:t>
      </w:r>
      <w:r w:rsidR="00AB74AF" w:rsidRPr="00B57548">
        <w:rPr>
          <w:rFonts w:ascii="Arial" w:eastAsia="Arial Bold" w:hAnsi="Arial" w:cs="Arial"/>
          <w:color w:val="auto"/>
          <w:sz w:val="24"/>
          <w:szCs w:val="24"/>
          <w:u w:color="000000"/>
          <w:lang w:val="es-ES_tradnl"/>
        </w:rPr>
        <w:t xml:space="preserve"> 120 se forma</w:t>
      </w:r>
      <w:r w:rsidR="00990DFA" w:rsidRPr="00B57548">
        <w:rPr>
          <w:rFonts w:ascii="Arial" w:eastAsia="Arial Bold" w:hAnsi="Arial" w:cs="Arial"/>
          <w:color w:val="auto"/>
          <w:sz w:val="24"/>
          <w:szCs w:val="24"/>
          <w:u w:color="000000"/>
          <w:lang w:val="es-ES_tradnl"/>
        </w:rPr>
        <w:t>ron</w:t>
      </w:r>
      <w:r w:rsidR="00AB74AF" w:rsidRPr="00B57548">
        <w:rPr>
          <w:rFonts w:ascii="Arial" w:eastAsia="Arial Bold" w:hAnsi="Arial" w:cs="Arial"/>
          <w:color w:val="auto"/>
          <w:sz w:val="24"/>
          <w:szCs w:val="24"/>
          <w:u w:color="000000"/>
          <w:lang w:val="es-ES_tradnl"/>
        </w:rPr>
        <w:t xml:space="preserve"> en servicios asociados al sector de la construcción, reparación y mantenimiento domiciliario, así como en la atención psicosocial, al fomento y apoyo al a</w:t>
      </w:r>
      <w:r w:rsidR="00990DFA" w:rsidRPr="00B57548">
        <w:rPr>
          <w:rFonts w:ascii="Arial" w:eastAsia="Arial Bold" w:hAnsi="Arial" w:cs="Arial"/>
          <w:color w:val="auto"/>
          <w:sz w:val="24"/>
          <w:szCs w:val="24"/>
          <w:u w:color="000000"/>
          <w:lang w:val="es-ES_tradnl"/>
        </w:rPr>
        <w:t>uto empleo y el emprendimiento;</w:t>
      </w:r>
      <w:r w:rsidR="00AB74AF" w:rsidRPr="00B57548">
        <w:rPr>
          <w:rFonts w:ascii="Arial" w:eastAsia="Arial Bold" w:hAnsi="Arial" w:cs="Arial"/>
          <w:color w:val="auto"/>
          <w:sz w:val="24"/>
          <w:szCs w:val="24"/>
          <w:u w:color="000000"/>
          <w:lang w:val="es-ES_tradnl"/>
        </w:rPr>
        <w:t xml:space="preserve"> y otro número importante de jóvenes capacitados en el Sena que comienzan a realizar prácticas empresariales</w:t>
      </w:r>
    </w:p>
    <w:p w:rsidR="002C62A8" w:rsidRPr="00B57548" w:rsidRDefault="002C62A8"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eastAsia="Arial Bold" w:hAnsi="Arial" w:cs="Arial"/>
          <w:caps/>
          <w:color w:val="auto"/>
          <w:sz w:val="24"/>
          <w:szCs w:val="24"/>
          <w:u w:color="000000"/>
          <w:lang w:val="es-ES_tradnl"/>
        </w:rPr>
      </w:pPr>
    </w:p>
    <w:p w:rsidR="002C62A8" w:rsidRPr="00B57548" w:rsidRDefault="00AB74AF"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hAnsi="Arial" w:cs="Arial"/>
          <w:caps/>
          <w:color w:val="auto"/>
          <w:sz w:val="24"/>
          <w:szCs w:val="24"/>
          <w:u w:color="000000"/>
          <w:lang w:val="es-ES_tradnl"/>
        </w:rPr>
      </w:pPr>
      <w:r w:rsidRPr="00B57548">
        <w:rPr>
          <w:rFonts w:ascii="Arial" w:hAnsi="Arial" w:cs="Arial"/>
          <w:b/>
          <w:color w:val="auto"/>
          <w:sz w:val="24"/>
          <w:szCs w:val="24"/>
          <w:u w:color="000000"/>
          <w:lang w:val="es-ES_tradnl"/>
        </w:rPr>
        <w:t>Por medio de la estrategia de Fútbol callejero, un gol a la violencia</w:t>
      </w:r>
      <w:r w:rsidRPr="00B57548">
        <w:rPr>
          <w:rFonts w:ascii="Arial" w:hAnsi="Arial" w:cs="Arial"/>
          <w:color w:val="auto"/>
          <w:sz w:val="24"/>
          <w:szCs w:val="24"/>
          <w:u w:color="000000"/>
          <w:lang w:val="es-ES_tradnl"/>
        </w:rPr>
        <w:t>. Se logró una participación promedio anual de  2.900 jóvenes, 100 equipos, 100 jóvenes coordinadores, 100 jóvenes mediadores, 100 jóvenes animadores y 1.000 jóvenes conformando las barras de apoyo, todos juntos con el propósito de promover valores y cultura de paz, integración familiar y participación ciudadana. Se lograron reconocimientos en el campeonato mundial de fútbol callejero Brasil 2014 con 11 jóvenes Barranquilleros del programa Va Jugando</w:t>
      </w:r>
      <w:r w:rsidR="00990DFA" w:rsidRPr="00B57548">
        <w:rPr>
          <w:rFonts w:ascii="Arial" w:hAnsi="Arial" w:cs="Arial"/>
          <w:color w:val="auto"/>
          <w:sz w:val="24"/>
          <w:szCs w:val="24"/>
          <w:u w:color="000000"/>
          <w:lang w:val="es-ES_tradnl"/>
        </w:rPr>
        <w:t xml:space="preserve"> </w:t>
      </w:r>
      <w:r w:rsidRPr="00B57548">
        <w:rPr>
          <w:rFonts w:ascii="Arial" w:hAnsi="Arial" w:cs="Arial"/>
          <w:color w:val="auto"/>
          <w:sz w:val="24"/>
          <w:szCs w:val="24"/>
          <w:u w:color="000000"/>
          <w:lang w:val="es-ES_tradnl"/>
        </w:rPr>
        <w:t xml:space="preserve">y  </w:t>
      </w:r>
      <w:r w:rsidRPr="00B57548">
        <w:rPr>
          <w:rFonts w:ascii="Arial" w:hAnsi="Arial" w:cs="Arial"/>
          <w:color w:val="auto"/>
          <w:sz w:val="24"/>
          <w:szCs w:val="24"/>
          <w:u w:color="000000"/>
          <w:lang w:val="es-ES_tradnl"/>
        </w:rPr>
        <w:lastRenderedPageBreak/>
        <w:t xml:space="preserve">subcampeones en la copa América jugada en Buenos Aires- Argentina en el 2015, donde demostraron que si es posible lograr cambios positivos en sus vidas. </w:t>
      </w:r>
    </w:p>
    <w:p w:rsidR="002C62A8" w:rsidRPr="00B57548" w:rsidRDefault="002C62A8"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jc w:val="both"/>
        <w:rPr>
          <w:rFonts w:ascii="Arial" w:hAnsi="Arial" w:cs="Arial"/>
          <w:caps/>
          <w:color w:val="auto"/>
          <w:sz w:val="24"/>
          <w:szCs w:val="24"/>
          <w:u w:color="000000"/>
          <w:lang w:val="es-ES_tradnl"/>
        </w:rPr>
      </w:pPr>
    </w:p>
    <w:p w:rsidR="002C62A8" w:rsidRPr="00B57548" w:rsidRDefault="002C62A8"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hAnsi="Arial" w:cs="Arial"/>
          <w:b/>
          <w:sz w:val="24"/>
          <w:szCs w:val="24"/>
          <w:u w:color="000000"/>
          <w:lang w:val="es-ES_tradnl"/>
        </w:rPr>
      </w:pPr>
      <w:r w:rsidRPr="00B57548">
        <w:rPr>
          <w:rFonts w:ascii="Arial" w:eastAsia="Arial Bold" w:hAnsi="Arial" w:cs="Arial"/>
          <w:b/>
          <w:color w:val="auto"/>
          <w:sz w:val="24"/>
          <w:szCs w:val="24"/>
          <w:u w:color="000000"/>
          <w:lang w:val="es-ES_tradnl"/>
        </w:rPr>
        <w:t xml:space="preserve">Hoy, cerca del 40%  de los jóvenes de va jugando, trabaja en empleos formales o informales, y el 20% ha vuelto al colegio y/o está vinculado en algún proceso de capacitación, y 24 jóvenes ya tienen resulta su situación militar que les permitirá ingresar al mundo laboral. </w:t>
      </w:r>
      <w:r w:rsidRPr="00B57548">
        <w:rPr>
          <w:rFonts w:ascii="Arial" w:eastAsia="Arial Bold" w:hAnsi="Arial" w:cs="Arial"/>
          <w:b/>
          <w:sz w:val="24"/>
          <w:szCs w:val="24"/>
          <w:u w:color="000000"/>
          <w:lang w:val="es-ES_tradnl"/>
        </w:rPr>
        <w:t xml:space="preserve">Por otra parte los indicadores muestran que en el 2012 el 45% de ciudadanos asociaban su percepción de inseguridad a pandillas, al 2015 esta percepción de inseguridad ha disminuido al 28%; </w:t>
      </w:r>
      <w:r w:rsidR="00990DFA" w:rsidRPr="00B57548">
        <w:rPr>
          <w:rFonts w:ascii="Arial" w:eastAsia="Arial Bold" w:hAnsi="Arial" w:cs="Arial"/>
          <w:b/>
          <w:sz w:val="24"/>
          <w:szCs w:val="24"/>
          <w:u w:color="000000"/>
          <w:lang w:val="es-ES_tradnl"/>
        </w:rPr>
        <w:t>y el</w:t>
      </w:r>
      <w:r w:rsidRPr="00B57548">
        <w:rPr>
          <w:rFonts w:ascii="Arial" w:eastAsia="Arial Bold" w:hAnsi="Arial" w:cs="Arial"/>
          <w:b/>
          <w:sz w:val="24"/>
          <w:szCs w:val="24"/>
          <w:u w:color="000000"/>
          <w:lang w:val="es-ES_tradnl"/>
        </w:rPr>
        <w:t xml:space="preserve"> 43% de los  </w:t>
      </w:r>
      <w:r w:rsidRPr="00B57548">
        <w:rPr>
          <w:rFonts w:ascii="Arial" w:hAnsi="Arial" w:cs="Arial"/>
          <w:b/>
          <w:sz w:val="24"/>
          <w:szCs w:val="24"/>
          <w:u w:color="000000"/>
          <w:lang w:val="es-ES_tradnl"/>
        </w:rPr>
        <w:t xml:space="preserve">ciudadanos cree que se debe dar más oportunidades a los jóvenes para reducir la violencia y la criminalidad </w:t>
      </w:r>
      <w:r w:rsidR="00540419" w:rsidRPr="00B57548">
        <w:rPr>
          <w:rFonts w:ascii="Arial" w:hAnsi="Arial" w:cs="Arial"/>
          <w:b/>
          <w:sz w:val="24"/>
          <w:szCs w:val="24"/>
          <w:u w:color="000000"/>
          <w:lang w:val="es-ES_tradnl"/>
        </w:rPr>
        <w:t>(Fuente</w:t>
      </w:r>
      <w:r w:rsidRPr="00B57548">
        <w:rPr>
          <w:rFonts w:ascii="Arial" w:hAnsi="Arial" w:cs="Arial"/>
          <w:b/>
          <w:sz w:val="24"/>
          <w:szCs w:val="24"/>
          <w:u w:color="000000"/>
          <w:lang w:val="es-ES_tradnl"/>
        </w:rPr>
        <w:t>: BCV)</w:t>
      </w:r>
      <w:r w:rsidR="00990DFA" w:rsidRPr="00B57548">
        <w:rPr>
          <w:rFonts w:ascii="Arial" w:hAnsi="Arial" w:cs="Arial"/>
          <w:b/>
          <w:sz w:val="24"/>
          <w:szCs w:val="24"/>
          <w:u w:color="000000"/>
          <w:lang w:val="es-ES_tradnl"/>
        </w:rPr>
        <w:t>.</w:t>
      </w:r>
    </w:p>
    <w:p w:rsidR="00723A23" w:rsidRPr="00B57548" w:rsidRDefault="00723A23"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jc w:val="both"/>
        <w:rPr>
          <w:rFonts w:ascii="Arial" w:hAnsi="Arial" w:cs="Arial"/>
          <w:sz w:val="24"/>
          <w:szCs w:val="24"/>
        </w:rPr>
      </w:pPr>
    </w:p>
    <w:p w:rsidR="00723A23" w:rsidRPr="00B57548" w:rsidRDefault="00723A23" w:rsidP="00B5754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Fonts w:ascii="Arial" w:hAnsi="Arial" w:cs="Arial"/>
          <w:sz w:val="24"/>
          <w:szCs w:val="24"/>
        </w:rPr>
      </w:pPr>
      <w:r w:rsidRPr="00B57548">
        <w:rPr>
          <w:rFonts w:ascii="Arial" w:hAnsi="Arial" w:cs="Arial"/>
          <w:b/>
          <w:color w:val="0070C0"/>
          <w:sz w:val="24"/>
          <w:szCs w:val="24"/>
        </w:rPr>
        <w:t>Línea de inversión 7</w:t>
      </w:r>
      <w:r w:rsidRPr="00B57548">
        <w:rPr>
          <w:rFonts w:ascii="Arial" w:hAnsi="Arial" w:cs="Arial"/>
          <w:sz w:val="24"/>
          <w:szCs w:val="24"/>
        </w:rPr>
        <w:t xml:space="preserve">. </w:t>
      </w:r>
      <w:r w:rsidRPr="00B57548">
        <w:rPr>
          <w:rFonts w:ascii="Arial" w:hAnsi="Arial" w:cs="Arial"/>
          <w:b/>
          <w:sz w:val="24"/>
          <w:szCs w:val="24"/>
        </w:rPr>
        <w:t>Promoción de la convivencia</w:t>
      </w:r>
      <w:r w:rsidR="00C65F33" w:rsidRPr="00B57548">
        <w:rPr>
          <w:rFonts w:ascii="Arial" w:hAnsi="Arial" w:cs="Arial"/>
          <w:b/>
          <w:sz w:val="24"/>
          <w:szCs w:val="24"/>
        </w:rPr>
        <w:t xml:space="preserve">. </w:t>
      </w:r>
      <w:r w:rsidR="00C65F33" w:rsidRPr="00B57548">
        <w:rPr>
          <w:rFonts w:ascii="Arial" w:hAnsi="Arial" w:cs="Arial"/>
          <w:sz w:val="24"/>
          <w:szCs w:val="24"/>
        </w:rPr>
        <w:t>El propósito de una Barranq</w:t>
      </w:r>
      <w:r w:rsidR="00DD40C5" w:rsidRPr="00B57548">
        <w:rPr>
          <w:rFonts w:ascii="Arial" w:hAnsi="Arial" w:cs="Arial"/>
          <w:sz w:val="24"/>
          <w:szCs w:val="24"/>
        </w:rPr>
        <w:t>uilla más segura, se sustenta necesariamente en la generación de capital social con una ciudadanía con cero tolerancia al delito y que desde su rol promueve relaciones sociales de convivencia sana y armónica. Por tal razón, el Fondo de Seguridad y Convivencia Ciudadana, priorizó la gestión de esta línea de la política pública a través de intervenciones focales como la formación de Gestores Sociales en Convivencia con la participación de varias Universidade</w:t>
      </w:r>
      <w:r w:rsidR="0086512B" w:rsidRPr="00B57548">
        <w:rPr>
          <w:rFonts w:ascii="Arial" w:hAnsi="Arial" w:cs="Arial"/>
          <w:sz w:val="24"/>
          <w:szCs w:val="24"/>
        </w:rPr>
        <w:t xml:space="preserve">s locales y </w:t>
      </w:r>
      <w:r w:rsidR="00DD40C5" w:rsidRPr="00B57548">
        <w:rPr>
          <w:rFonts w:ascii="Arial" w:hAnsi="Arial" w:cs="Arial"/>
          <w:sz w:val="24"/>
          <w:szCs w:val="24"/>
        </w:rPr>
        <w:t xml:space="preserve">el tratamiento de factores de riesgo con y desde las comunidades vecinas del Sistema de Transporte Masivo TRANSMETRO, generando procesos de ciudadanía </w:t>
      </w:r>
      <w:r w:rsidR="00112080" w:rsidRPr="00B57548">
        <w:rPr>
          <w:rFonts w:ascii="Arial" w:hAnsi="Arial" w:cs="Arial"/>
          <w:sz w:val="24"/>
          <w:szCs w:val="24"/>
        </w:rPr>
        <w:t>activa y responsable</w:t>
      </w:r>
      <w:r w:rsidR="00DD40C5" w:rsidRPr="00B57548">
        <w:rPr>
          <w:rFonts w:ascii="Arial" w:hAnsi="Arial" w:cs="Arial"/>
          <w:sz w:val="24"/>
          <w:szCs w:val="24"/>
        </w:rPr>
        <w:t xml:space="preserve"> </w:t>
      </w:r>
      <w:r w:rsidR="0086512B" w:rsidRPr="00B57548">
        <w:rPr>
          <w:rFonts w:ascii="Arial" w:hAnsi="Arial" w:cs="Arial"/>
          <w:sz w:val="24"/>
          <w:szCs w:val="24"/>
        </w:rPr>
        <w:t xml:space="preserve">que mejoran su comportamiento en el uso del servicio de transporte masivo. En </w:t>
      </w:r>
      <w:r w:rsidR="00A80917" w:rsidRPr="00B57548">
        <w:rPr>
          <w:rFonts w:ascii="Arial" w:hAnsi="Arial" w:cs="Arial"/>
          <w:sz w:val="24"/>
          <w:szCs w:val="24"/>
        </w:rPr>
        <w:t>este</w:t>
      </w:r>
      <w:r w:rsidR="0086512B" w:rsidRPr="00B57548">
        <w:rPr>
          <w:rFonts w:ascii="Arial" w:hAnsi="Arial" w:cs="Arial"/>
          <w:sz w:val="24"/>
          <w:szCs w:val="24"/>
        </w:rPr>
        <w:t xml:space="preserve"> mismo proceso se invirtió en la capacitación continua de Inspectores de Policía, Comisarios de Familia</w:t>
      </w:r>
      <w:r w:rsidRPr="00B57548">
        <w:rPr>
          <w:rFonts w:ascii="Arial" w:hAnsi="Arial" w:cs="Arial"/>
          <w:sz w:val="24"/>
          <w:szCs w:val="24"/>
        </w:rPr>
        <w:t xml:space="preserve"> </w:t>
      </w:r>
      <w:r w:rsidR="0086512B" w:rsidRPr="00B57548">
        <w:rPr>
          <w:rFonts w:ascii="Arial" w:hAnsi="Arial" w:cs="Arial"/>
          <w:sz w:val="24"/>
          <w:szCs w:val="24"/>
        </w:rPr>
        <w:t>y sus equipos interdisciplinarios, para fortalecer y cualificar sus herramientas en la aplicación de las normas de convivencia, seguridad y orden público.</w:t>
      </w:r>
      <w:r w:rsidR="00A80917" w:rsidRPr="00B57548">
        <w:rPr>
          <w:rFonts w:ascii="Arial" w:hAnsi="Arial" w:cs="Arial"/>
          <w:sz w:val="24"/>
          <w:szCs w:val="24"/>
        </w:rPr>
        <w:t xml:space="preserve"> Otros procesos de promoción de la convivencia corresponden a </w:t>
      </w:r>
      <w:r w:rsidR="00A80917" w:rsidRPr="00B57548">
        <w:rPr>
          <w:rFonts w:ascii="Arial" w:hAnsi="Arial" w:cs="Arial"/>
          <w:color w:val="222222"/>
          <w:sz w:val="24"/>
          <w:szCs w:val="24"/>
          <w:shd w:val="clear" w:color="auto" w:fill="FFFFFF"/>
        </w:rPr>
        <w:t>socialización del manual de convivencia, actividades de cuidado para el uso de la pólvora en temporada navideña, Estrategia 24-0, uso de espacios colectivos para mejoramiento de las relaciones sociales, el acompañamiento a los nuevos entornos urbanos en el proceso de asentamiento de las urbanizaciones las Gardenias y Villas de San Pablo, promoviendo la convivencia pacífica, el respeto y la colaboración con el cumplimiento de la ley y las normas.</w:t>
      </w:r>
    </w:p>
    <w:sectPr w:rsidR="00723A23" w:rsidRPr="00B57548">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07" w:rsidRDefault="003D6F07" w:rsidP="009C2B6C">
      <w:pPr>
        <w:spacing w:after="0" w:line="240" w:lineRule="auto"/>
      </w:pPr>
      <w:r>
        <w:separator/>
      </w:r>
    </w:p>
  </w:endnote>
  <w:endnote w:type="continuationSeparator" w:id="0">
    <w:p w:rsidR="003D6F07" w:rsidRDefault="003D6F07" w:rsidP="009C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075134"/>
      <w:docPartObj>
        <w:docPartGallery w:val="Page Numbers (Bottom of Page)"/>
        <w:docPartUnique/>
      </w:docPartObj>
    </w:sdtPr>
    <w:sdtEndPr/>
    <w:sdtContent>
      <w:p w:rsidR="00BA2ECB" w:rsidRDefault="00BA2ECB">
        <w:pPr>
          <w:pStyle w:val="Piedepgina"/>
          <w:jc w:val="center"/>
        </w:pPr>
        <w:r>
          <w:fldChar w:fldCharType="begin"/>
        </w:r>
        <w:r>
          <w:instrText>PAGE   \* MERGEFORMAT</w:instrText>
        </w:r>
        <w:r>
          <w:fldChar w:fldCharType="separate"/>
        </w:r>
        <w:r w:rsidR="00B57548" w:rsidRPr="00B57548">
          <w:rPr>
            <w:noProof/>
            <w:lang w:val="es-ES"/>
          </w:rPr>
          <w:t>10</w:t>
        </w:r>
        <w:r>
          <w:fldChar w:fldCharType="end"/>
        </w:r>
      </w:p>
    </w:sdtContent>
  </w:sdt>
  <w:p w:rsidR="00BA2ECB" w:rsidRDefault="00BA2E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07" w:rsidRDefault="003D6F07" w:rsidP="009C2B6C">
      <w:pPr>
        <w:spacing w:after="0" w:line="240" w:lineRule="auto"/>
      </w:pPr>
      <w:r>
        <w:separator/>
      </w:r>
    </w:p>
  </w:footnote>
  <w:footnote w:type="continuationSeparator" w:id="0">
    <w:p w:rsidR="003D6F07" w:rsidRDefault="003D6F07" w:rsidP="009C2B6C">
      <w:pPr>
        <w:spacing w:after="0" w:line="240" w:lineRule="auto"/>
      </w:pPr>
      <w:r>
        <w:continuationSeparator/>
      </w:r>
    </w:p>
  </w:footnote>
  <w:footnote w:id="1">
    <w:p w:rsidR="007C5BC7" w:rsidRPr="00984BCF" w:rsidRDefault="007C5BC7" w:rsidP="00984BCF">
      <w:pPr>
        <w:pStyle w:val="Textonotapie"/>
        <w:rPr>
          <w:sz w:val="16"/>
          <w:szCs w:val="16"/>
        </w:rPr>
      </w:pPr>
      <w:r w:rsidRPr="00984BCF">
        <w:rPr>
          <w:rStyle w:val="Refdenotaalpie"/>
          <w:sz w:val="16"/>
          <w:szCs w:val="16"/>
        </w:rPr>
        <w:footnoteRef/>
      </w:r>
      <w:r w:rsidRPr="00984BCF">
        <w:rPr>
          <w:sz w:val="16"/>
          <w:szCs w:val="16"/>
        </w:rPr>
        <w:t xml:space="preserve"> </w:t>
      </w:r>
      <w:r w:rsidRPr="00984BCF">
        <w:rPr>
          <w:rFonts w:cs="Arial"/>
          <w:sz w:val="16"/>
          <w:szCs w:val="16"/>
        </w:rPr>
        <w:t xml:space="preserve">De conformidad con Acuerdo 001 del 2011 que lo crea y el Decreto 0345 del mismo año que lo reglamenta. </w:t>
      </w:r>
    </w:p>
  </w:footnote>
  <w:footnote w:id="2">
    <w:p w:rsidR="007C5BC7" w:rsidRPr="00984BCF" w:rsidRDefault="007C5BC7" w:rsidP="00984BCF">
      <w:pPr>
        <w:spacing w:after="0" w:line="240" w:lineRule="auto"/>
        <w:jc w:val="both"/>
        <w:rPr>
          <w:rFonts w:eastAsia="Times New Roman" w:cs="Arial"/>
          <w:sz w:val="16"/>
          <w:szCs w:val="16"/>
          <w:lang w:val="es-ES" w:eastAsia="es-ES"/>
        </w:rPr>
      </w:pPr>
      <w:r w:rsidRPr="00984BCF">
        <w:rPr>
          <w:rStyle w:val="Refdenotaalpie"/>
          <w:sz w:val="16"/>
          <w:szCs w:val="16"/>
        </w:rPr>
        <w:footnoteRef/>
      </w:r>
      <w:r w:rsidRPr="00984BCF">
        <w:rPr>
          <w:sz w:val="16"/>
          <w:szCs w:val="16"/>
        </w:rPr>
        <w:t xml:space="preserve"> </w:t>
      </w:r>
      <w:r w:rsidRPr="00984BCF">
        <w:rPr>
          <w:rFonts w:eastAsia="Times New Roman" w:cs="Arial"/>
          <w:sz w:val="16"/>
          <w:szCs w:val="16"/>
          <w:lang w:val="es-ES" w:eastAsia="es-ES"/>
        </w:rPr>
        <w:t>La Ley 1421 de Diciembre de 2010</w:t>
      </w:r>
      <w:r w:rsidRPr="00984BCF">
        <w:rPr>
          <w:rFonts w:eastAsia="Times New Roman" w:cs="Arial"/>
          <w:iCs/>
          <w:sz w:val="16"/>
          <w:szCs w:val="16"/>
          <w:lang w:val="es-ES" w:eastAsia="es-ES"/>
        </w:rPr>
        <w:t xml:space="preserve"> por la cual se prorroga la Ley 418 de 1997 y las Leyes 548 de 1999, 782 de 2002 y 1106 de 2006</w:t>
      </w:r>
      <w:r w:rsidRPr="00984BCF">
        <w:rPr>
          <w:rFonts w:eastAsia="Times New Roman" w:cs="Arial"/>
          <w:sz w:val="16"/>
          <w:szCs w:val="16"/>
          <w:lang w:val="es-ES" w:eastAsia="es-ES"/>
        </w:rPr>
        <w:t xml:space="preserve">, dispuso el funcionamiento, administración  y financiamiento de los Fondos Territoriales de Seguridad y Convivencia Ciudadana con carácter de </w:t>
      </w:r>
      <w:r w:rsidRPr="00984BCF">
        <w:rPr>
          <w:rFonts w:eastAsia="Times New Roman" w:cs="Arial"/>
          <w:i/>
          <w:sz w:val="16"/>
          <w:szCs w:val="16"/>
          <w:lang w:val="es-ES" w:eastAsia="es-ES"/>
        </w:rPr>
        <w:t>“Fondo Cuenta”</w:t>
      </w:r>
      <w:r w:rsidRPr="00984BCF">
        <w:rPr>
          <w:rFonts w:eastAsia="Times New Roman" w:cs="Arial"/>
          <w:sz w:val="16"/>
          <w:szCs w:val="16"/>
          <w:lang w:val="es-ES" w:eastAsia="es-ES"/>
        </w:rPr>
        <w:t>, estableciendo que será administrado como una cuenta especial sin personería jurídica, con un sistema separado de cuentas, cuyo objetivo es realizar gastos destinados a propiciar la Seguridad Ciudadana y la preservación del orden público.</w:t>
      </w:r>
    </w:p>
    <w:p w:rsidR="007C5BC7" w:rsidRPr="00984BCF" w:rsidRDefault="007C5BC7">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2FD8"/>
    <w:multiLevelType w:val="hybridMultilevel"/>
    <w:tmpl w:val="5E22BE5A"/>
    <w:lvl w:ilvl="0" w:tplc="88C0BF02">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15DA029B"/>
    <w:multiLevelType w:val="hybridMultilevel"/>
    <w:tmpl w:val="2F321504"/>
    <w:lvl w:ilvl="0" w:tplc="C36ECD46">
      <w:numFmt w:val="bullet"/>
      <w:lvlText w:val="–"/>
      <w:lvlJc w:val="left"/>
      <w:pPr>
        <w:ind w:left="1116" w:hanging="396"/>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BAA0FD9"/>
    <w:multiLevelType w:val="hybridMultilevel"/>
    <w:tmpl w:val="9DE6FC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287A18F4"/>
    <w:multiLevelType w:val="hybridMultilevel"/>
    <w:tmpl w:val="794E3C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BF92953"/>
    <w:multiLevelType w:val="hybridMultilevel"/>
    <w:tmpl w:val="794E3C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13F06DC"/>
    <w:multiLevelType w:val="multilevel"/>
    <w:tmpl w:val="2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A00086"/>
    <w:multiLevelType w:val="hybridMultilevel"/>
    <w:tmpl w:val="4AEA7A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04020C2"/>
    <w:multiLevelType w:val="hybridMultilevel"/>
    <w:tmpl w:val="CE181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CA238F"/>
    <w:multiLevelType w:val="hybridMultilevel"/>
    <w:tmpl w:val="9B8A78F4"/>
    <w:lvl w:ilvl="0" w:tplc="88C0BF02">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45EA5E29"/>
    <w:multiLevelType w:val="hybridMultilevel"/>
    <w:tmpl w:val="3A90F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F286913"/>
    <w:multiLevelType w:val="hybridMultilevel"/>
    <w:tmpl w:val="9C225E18"/>
    <w:lvl w:ilvl="0" w:tplc="38E29C5A">
      <w:start w:val="1"/>
      <w:numFmt w:val="decimal"/>
      <w:lvlText w:val="%1."/>
      <w:lvlJc w:val="left"/>
      <w:pPr>
        <w:ind w:left="720" w:hanging="360"/>
      </w:pPr>
      <w:rPr>
        <w:rFonts w:hint="default"/>
        <w:b w:val="0"/>
        <w:color w:val="000000" w:themeColor="text1"/>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C353A41"/>
    <w:multiLevelType w:val="hybridMultilevel"/>
    <w:tmpl w:val="D9A071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7"/>
  </w:num>
  <w:num w:numId="5">
    <w:abstractNumId w:val="5"/>
  </w:num>
  <w:num w:numId="6">
    <w:abstractNumId w:val="8"/>
  </w:num>
  <w:num w:numId="7">
    <w:abstractNumId w:val="4"/>
  </w:num>
  <w:num w:numId="8">
    <w:abstractNumId w:val="3"/>
  </w:num>
  <w:num w:numId="9">
    <w:abstractNumId w:val="2"/>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A9"/>
    <w:rsid w:val="00002994"/>
    <w:rsid w:val="000035E8"/>
    <w:rsid w:val="00005B45"/>
    <w:rsid w:val="00007383"/>
    <w:rsid w:val="00010E5C"/>
    <w:rsid w:val="00011162"/>
    <w:rsid w:val="000132CA"/>
    <w:rsid w:val="0001392B"/>
    <w:rsid w:val="0001640B"/>
    <w:rsid w:val="00017C12"/>
    <w:rsid w:val="0002036C"/>
    <w:rsid w:val="0002063D"/>
    <w:rsid w:val="000262C5"/>
    <w:rsid w:val="00026889"/>
    <w:rsid w:val="00032874"/>
    <w:rsid w:val="00032899"/>
    <w:rsid w:val="00033718"/>
    <w:rsid w:val="0003456E"/>
    <w:rsid w:val="00034C5C"/>
    <w:rsid w:val="00035CA2"/>
    <w:rsid w:val="00036FFE"/>
    <w:rsid w:val="00040762"/>
    <w:rsid w:val="00046027"/>
    <w:rsid w:val="000472A6"/>
    <w:rsid w:val="00051BC0"/>
    <w:rsid w:val="00054CE9"/>
    <w:rsid w:val="00061789"/>
    <w:rsid w:val="0006264D"/>
    <w:rsid w:val="000636E9"/>
    <w:rsid w:val="00063B99"/>
    <w:rsid w:val="00070C4C"/>
    <w:rsid w:val="000710F3"/>
    <w:rsid w:val="000726D3"/>
    <w:rsid w:val="0008203B"/>
    <w:rsid w:val="0008378F"/>
    <w:rsid w:val="0008776E"/>
    <w:rsid w:val="000908B2"/>
    <w:rsid w:val="00092F36"/>
    <w:rsid w:val="000936DE"/>
    <w:rsid w:val="00093D76"/>
    <w:rsid w:val="00094AA2"/>
    <w:rsid w:val="00097BB4"/>
    <w:rsid w:val="000A2894"/>
    <w:rsid w:val="000A70FF"/>
    <w:rsid w:val="000A7217"/>
    <w:rsid w:val="000B1EF8"/>
    <w:rsid w:val="000B4506"/>
    <w:rsid w:val="000B5318"/>
    <w:rsid w:val="000B6ACA"/>
    <w:rsid w:val="000B6E07"/>
    <w:rsid w:val="000B7739"/>
    <w:rsid w:val="000C0F21"/>
    <w:rsid w:val="000C1238"/>
    <w:rsid w:val="000C604A"/>
    <w:rsid w:val="000D3400"/>
    <w:rsid w:val="000D36F1"/>
    <w:rsid w:val="000D3920"/>
    <w:rsid w:val="000D45DA"/>
    <w:rsid w:val="000D4844"/>
    <w:rsid w:val="000E51BF"/>
    <w:rsid w:val="0010121B"/>
    <w:rsid w:val="0010191F"/>
    <w:rsid w:val="00103121"/>
    <w:rsid w:val="00104776"/>
    <w:rsid w:val="001074DC"/>
    <w:rsid w:val="00107918"/>
    <w:rsid w:val="00110110"/>
    <w:rsid w:val="00112080"/>
    <w:rsid w:val="00113AE9"/>
    <w:rsid w:val="00114CAB"/>
    <w:rsid w:val="0011623B"/>
    <w:rsid w:val="0012202D"/>
    <w:rsid w:val="00122218"/>
    <w:rsid w:val="0012734C"/>
    <w:rsid w:val="001320A4"/>
    <w:rsid w:val="00132CDD"/>
    <w:rsid w:val="0013328F"/>
    <w:rsid w:val="001406CA"/>
    <w:rsid w:val="001445CF"/>
    <w:rsid w:val="00146AFF"/>
    <w:rsid w:val="00151838"/>
    <w:rsid w:val="00151DA3"/>
    <w:rsid w:val="001538B7"/>
    <w:rsid w:val="00156F7F"/>
    <w:rsid w:val="00162D0C"/>
    <w:rsid w:val="001643EE"/>
    <w:rsid w:val="00167F30"/>
    <w:rsid w:val="00171DEF"/>
    <w:rsid w:val="00172ACC"/>
    <w:rsid w:val="00176B4C"/>
    <w:rsid w:val="00177646"/>
    <w:rsid w:val="001803A8"/>
    <w:rsid w:val="0018598A"/>
    <w:rsid w:val="001860E8"/>
    <w:rsid w:val="00187ECA"/>
    <w:rsid w:val="00193B5E"/>
    <w:rsid w:val="001976CB"/>
    <w:rsid w:val="00197F31"/>
    <w:rsid w:val="001A1425"/>
    <w:rsid w:val="001A15E1"/>
    <w:rsid w:val="001A499D"/>
    <w:rsid w:val="001A7CB3"/>
    <w:rsid w:val="001A7CE8"/>
    <w:rsid w:val="001B10E5"/>
    <w:rsid w:val="001B1B99"/>
    <w:rsid w:val="001B1EC7"/>
    <w:rsid w:val="001B497F"/>
    <w:rsid w:val="001B5D10"/>
    <w:rsid w:val="001B614B"/>
    <w:rsid w:val="001B7B19"/>
    <w:rsid w:val="001C4B82"/>
    <w:rsid w:val="001D1506"/>
    <w:rsid w:val="001D1EB8"/>
    <w:rsid w:val="001E3346"/>
    <w:rsid w:val="001E3FAB"/>
    <w:rsid w:val="001E4EC2"/>
    <w:rsid w:val="001F1EF2"/>
    <w:rsid w:val="001F3531"/>
    <w:rsid w:val="001F3D33"/>
    <w:rsid w:val="001F51D4"/>
    <w:rsid w:val="001F55A3"/>
    <w:rsid w:val="001F7515"/>
    <w:rsid w:val="00202D25"/>
    <w:rsid w:val="00202EEE"/>
    <w:rsid w:val="00203471"/>
    <w:rsid w:val="002130B1"/>
    <w:rsid w:val="0022143D"/>
    <w:rsid w:val="0023025D"/>
    <w:rsid w:val="00232CF6"/>
    <w:rsid w:val="00236AE8"/>
    <w:rsid w:val="00237D36"/>
    <w:rsid w:val="0024617F"/>
    <w:rsid w:val="00251631"/>
    <w:rsid w:val="00252B38"/>
    <w:rsid w:val="00253AC6"/>
    <w:rsid w:val="00254180"/>
    <w:rsid w:val="0025447E"/>
    <w:rsid w:val="00255E7B"/>
    <w:rsid w:val="00256917"/>
    <w:rsid w:val="002570D3"/>
    <w:rsid w:val="0026307A"/>
    <w:rsid w:val="00267D7E"/>
    <w:rsid w:val="00271407"/>
    <w:rsid w:val="00272086"/>
    <w:rsid w:val="00275048"/>
    <w:rsid w:val="00275A34"/>
    <w:rsid w:val="0027771F"/>
    <w:rsid w:val="0028078D"/>
    <w:rsid w:val="00285616"/>
    <w:rsid w:val="00285EBB"/>
    <w:rsid w:val="00290638"/>
    <w:rsid w:val="0029137F"/>
    <w:rsid w:val="002939E1"/>
    <w:rsid w:val="00295722"/>
    <w:rsid w:val="002A0C2A"/>
    <w:rsid w:val="002A30BD"/>
    <w:rsid w:val="002A5175"/>
    <w:rsid w:val="002A5FE1"/>
    <w:rsid w:val="002A6780"/>
    <w:rsid w:val="002A7C4D"/>
    <w:rsid w:val="002B0E80"/>
    <w:rsid w:val="002B26A4"/>
    <w:rsid w:val="002B36FC"/>
    <w:rsid w:val="002B4CA6"/>
    <w:rsid w:val="002B5203"/>
    <w:rsid w:val="002B75AD"/>
    <w:rsid w:val="002C0BC2"/>
    <w:rsid w:val="002C400F"/>
    <w:rsid w:val="002C62A8"/>
    <w:rsid w:val="002C6691"/>
    <w:rsid w:val="002D022E"/>
    <w:rsid w:val="002D0789"/>
    <w:rsid w:val="002D2140"/>
    <w:rsid w:val="002D5164"/>
    <w:rsid w:val="002D6BE5"/>
    <w:rsid w:val="002D7DE7"/>
    <w:rsid w:val="002E0486"/>
    <w:rsid w:val="002E0536"/>
    <w:rsid w:val="002E362A"/>
    <w:rsid w:val="002E7D1D"/>
    <w:rsid w:val="00301917"/>
    <w:rsid w:val="003029C6"/>
    <w:rsid w:val="00303E6C"/>
    <w:rsid w:val="0030624B"/>
    <w:rsid w:val="00307A7D"/>
    <w:rsid w:val="003115D4"/>
    <w:rsid w:val="00311D1E"/>
    <w:rsid w:val="00313687"/>
    <w:rsid w:val="00314634"/>
    <w:rsid w:val="00316FF6"/>
    <w:rsid w:val="00322011"/>
    <w:rsid w:val="00322259"/>
    <w:rsid w:val="00324115"/>
    <w:rsid w:val="00324661"/>
    <w:rsid w:val="00327780"/>
    <w:rsid w:val="0033047D"/>
    <w:rsid w:val="00331643"/>
    <w:rsid w:val="003359CC"/>
    <w:rsid w:val="00337F54"/>
    <w:rsid w:val="0034314F"/>
    <w:rsid w:val="003446C4"/>
    <w:rsid w:val="00344C83"/>
    <w:rsid w:val="00351E6A"/>
    <w:rsid w:val="00354C1F"/>
    <w:rsid w:val="00357654"/>
    <w:rsid w:val="00357747"/>
    <w:rsid w:val="00360BE8"/>
    <w:rsid w:val="00361657"/>
    <w:rsid w:val="00362A01"/>
    <w:rsid w:val="00364CAB"/>
    <w:rsid w:val="003745C9"/>
    <w:rsid w:val="003754B9"/>
    <w:rsid w:val="00381236"/>
    <w:rsid w:val="003830F3"/>
    <w:rsid w:val="00385034"/>
    <w:rsid w:val="00386B01"/>
    <w:rsid w:val="003879B6"/>
    <w:rsid w:val="00391396"/>
    <w:rsid w:val="00396F97"/>
    <w:rsid w:val="003A331B"/>
    <w:rsid w:val="003A5F10"/>
    <w:rsid w:val="003A6E3E"/>
    <w:rsid w:val="003B0133"/>
    <w:rsid w:val="003B2120"/>
    <w:rsid w:val="003B70D7"/>
    <w:rsid w:val="003C527C"/>
    <w:rsid w:val="003D1C32"/>
    <w:rsid w:val="003D276C"/>
    <w:rsid w:val="003D39AA"/>
    <w:rsid w:val="003D5797"/>
    <w:rsid w:val="003D5990"/>
    <w:rsid w:val="003D5C34"/>
    <w:rsid w:val="003D6F07"/>
    <w:rsid w:val="003D7A77"/>
    <w:rsid w:val="003E158B"/>
    <w:rsid w:val="003F0891"/>
    <w:rsid w:val="003F090F"/>
    <w:rsid w:val="00400241"/>
    <w:rsid w:val="00401F4C"/>
    <w:rsid w:val="00403C2C"/>
    <w:rsid w:val="00404CF0"/>
    <w:rsid w:val="004103C8"/>
    <w:rsid w:val="0041058A"/>
    <w:rsid w:val="00410D37"/>
    <w:rsid w:val="00411E3D"/>
    <w:rsid w:val="004121E5"/>
    <w:rsid w:val="0042176E"/>
    <w:rsid w:val="00421AC5"/>
    <w:rsid w:val="0042448C"/>
    <w:rsid w:val="00427CFB"/>
    <w:rsid w:val="00433E9C"/>
    <w:rsid w:val="00434668"/>
    <w:rsid w:val="0043629B"/>
    <w:rsid w:val="0043725C"/>
    <w:rsid w:val="004418A4"/>
    <w:rsid w:val="00443D39"/>
    <w:rsid w:val="00447C8C"/>
    <w:rsid w:val="00447D62"/>
    <w:rsid w:val="00451ED4"/>
    <w:rsid w:val="00462654"/>
    <w:rsid w:val="00463F08"/>
    <w:rsid w:val="00464A2C"/>
    <w:rsid w:val="00465E0C"/>
    <w:rsid w:val="00466451"/>
    <w:rsid w:val="0046791D"/>
    <w:rsid w:val="00467D45"/>
    <w:rsid w:val="00471B5B"/>
    <w:rsid w:val="004725E3"/>
    <w:rsid w:val="00474885"/>
    <w:rsid w:val="00476901"/>
    <w:rsid w:val="0047781D"/>
    <w:rsid w:val="004806E4"/>
    <w:rsid w:val="00481E3B"/>
    <w:rsid w:val="004821F4"/>
    <w:rsid w:val="004901B4"/>
    <w:rsid w:val="00490C9B"/>
    <w:rsid w:val="00493395"/>
    <w:rsid w:val="004936F9"/>
    <w:rsid w:val="0049500B"/>
    <w:rsid w:val="00495F4E"/>
    <w:rsid w:val="004A07DB"/>
    <w:rsid w:val="004A1774"/>
    <w:rsid w:val="004A1CA5"/>
    <w:rsid w:val="004A7282"/>
    <w:rsid w:val="004A7452"/>
    <w:rsid w:val="004B0619"/>
    <w:rsid w:val="004B1C93"/>
    <w:rsid w:val="004B35CE"/>
    <w:rsid w:val="004B4324"/>
    <w:rsid w:val="004B43E4"/>
    <w:rsid w:val="004B44B1"/>
    <w:rsid w:val="004B5C1D"/>
    <w:rsid w:val="004B5F64"/>
    <w:rsid w:val="004B71CD"/>
    <w:rsid w:val="004C0D34"/>
    <w:rsid w:val="004C0EF0"/>
    <w:rsid w:val="004C3B9B"/>
    <w:rsid w:val="004C4723"/>
    <w:rsid w:val="004C4D70"/>
    <w:rsid w:val="004C5AA8"/>
    <w:rsid w:val="004C6822"/>
    <w:rsid w:val="004D04B7"/>
    <w:rsid w:val="004D0847"/>
    <w:rsid w:val="004D187B"/>
    <w:rsid w:val="004D1DE7"/>
    <w:rsid w:val="004D410F"/>
    <w:rsid w:val="004D6FFE"/>
    <w:rsid w:val="004E5D1D"/>
    <w:rsid w:val="004E6CA9"/>
    <w:rsid w:val="004E7501"/>
    <w:rsid w:val="004E7D8E"/>
    <w:rsid w:val="004F0C57"/>
    <w:rsid w:val="004F26E8"/>
    <w:rsid w:val="004F2DD8"/>
    <w:rsid w:val="00500602"/>
    <w:rsid w:val="00502F56"/>
    <w:rsid w:val="0050338C"/>
    <w:rsid w:val="00504171"/>
    <w:rsid w:val="00506728"/>
    <w:rsid w:val="005077E5"/>
    <w:rsid w:val="00510B60"/>
    <w:rsid w:val="0051694C"/>
    <w:rsid w:val="00521147"/>
    <w:rsid w:val="00522289"/>
    <w:rsid w:val="00524EFE"/>
    <w:rsid w:val="0052702F"/>
    <w:rsid w:val="00532C17"/>
    <w:rsid w:val="00535F31"/>
    <w:rsid w:val="00540419"/>
    <w:rsid w:val="00541CDB"/>
    <w:rsid w:val="005430A2"/>
    <w:rsid w:val="00543AE4"/>
    <w:rsid w:val="005448D8"/>
    <w:rsid w:val="005460A7"/>
    <w:rsid w:val="00550F5F"/>
    <w:rsid w:val="0055139D"/>
    <w:rsid w:val="00552113"/>
    <w:rsid w:val="005531B3"/>
    <w:rsid w:val="00553C10"/>
    <w:rsid w:val="00554A94"/>
    <w:rsid w:val="00554F9F"/>
    <w:rsid w:val="005568D7"/>
    <w:rsid w:val="005579B2"/>
    <w:rsid w:val="0056174D"/>
    <w:rsid w:val="005647F1"/>
    <w:rsid w:val="005655E5"/>
    <w:rsid w:val="0056675A"/>
    <w:rsid w:val="005668E9"/>
    <w:rsid w:val="005675BC"/>
    <w:rsid w:val="00574183"/>
    <w:rsid w:val="00574C28"/>
    <w:rsid w:val="00575652"/>
    <w:rsid w:val="005765AA"/>
    <w:rsid w:val="005775DF"/>
    <w:rsid w:val="005775F8"/>
    <w:rsid w:val="0057762F"/>
    <w:rsid w:val="005801A0"/>
    <w:rsid w:val="0058205E"/>
    <w:rsid w:val="0058661D"/>
    <w:rsid w:val="00587AEA"/>
    <w:rsid w:val="00596F23"/>
    <w:rsid w:val="0059733F"/>
    <w:rsid w:val="005A1280"/>
    <w:rsid w:val="005A3F11"/>
    <w:rsid w:val="005A5FFF"/>
    <w:rsid w:val="005B0369"/>
    <w:rsid w:val="005B238D"/>
    <w:rsid w:val="005B2429"/>
    <w:rsid w:val="005B4888"/>
    <w:rsid w:val="005B4F7D"/>
    <w:rsid w:val="005B7C12"/>
    <w:rsid w:val="005C0AFF"/>
    <w:rsid w:val="005C2731"/>
    <w:rsid w:val="005C2FCC"/>
    <w:rsid w:val="005C4250"/>
    <w:rsid w:val="005D1619"/>
    <w:rsid w:val="005E2885"/>
    <w:rsid w:val="005F1135"/>
    <w:rsid w:val="005F1890"/>
    <w:rsid w:val="005F2ECA"/>
    <w:rsid w:val="005F361C"/>
    <w:rsid w:val="005F4BD4"/>
    <w:rsid w:val="005F6190"/>
    <w:rsid w:val="005F6253"/>
    <w:rsid w:val="005F635C"/>
    <w:rsid w:val="005F6BD6"/>
    <w:rsid w:val="005F71CE"/>
    <w:rsid w:val="005F75FF"/>
    <w:rsid w:val="006026A6"/>
    <w:rsid w:val="00603EE6"/>
    <w:rsid w:val="00604C76"/>
    <w:rsid w:val="0060707D"/>
    <w:rsid w:val="006104C8"/>
    <w:rsid w:val="00612E5D"/>
    <w:rsid w:val="00612F3E"/>
    <w:rsid w:val="00614470"/>
    <w:rsid w:val="0061599D"/>
    <w:rsid w:val="00615A13"/>
    <w:rsid w:val="00616E69"/>
    <w:rsid w:val="00616F6B"/>
    <w:rsid w:val="00621D4D"/>
    <w:rsid w:val="0062225E"/>
    <w:rsid w:val="00624538"/>
    <w:rsid w:val="00624AD6"/>
    <w:rsid w:val="00636A11"/>
    <w:rsid w:val="0064170D"/>
    <w:rsid w:val="00644CD3"/>
    <w:rsid w:val="00644FE1"/>
    <w:rsid w:val="00646397"/>
    <w:rsid w:val="00651A14"/>
    <w:rsid w:val="006539C6"/>
    <w:rsid w:val="00654EE7"/>
    <w:rsid w:val="00656B6D"/>
    <w:rsid w:val="00656F60"/>
    <w:rsid w:val="00661286"/>
    <w:rsid w:val="00666E4B"/>
    <w:rsid w:val="006701F7"/>
    <w:rsid w:val="00672CE4"/>
    <w:rsid w:val="006752DA"/>
    <w:rsid w:val="0067601F"/>
    <w:rsid w:val="00676573"/>
    <w:rsid w:val="00676E82"/>
    <w:rsid w:val="006772F2"/>
    <w:rsid w:val="0068045A"/>
    <w:rsid w:val="0068145D"/>
    <w:rsid w:val="0068318B"/>
    <w:rsid w:val="00684AB9"/>
    <w:rsid w:val="00684C19"/>
    <w:rsid w:val="00684F98"/>
    <w:rsid w:val="006867A9"/>
    <w:rsid w:val="0069167B"/>
    <w:rsid w:val="006917B7"/>
    <w:rsid w:val="00696566"/>
    <w:rsid w:val="006A0D88"/>
    <w:rsid w:val="006A3D09"/>
    <w:rsid w:val="006A459E"/>
    <w:rsid w:val="006A62F9"/>
    <w:rsid w:val="006B0D5C"/>
    <w:rsid w:val="006B4B74"/>
    <w:rsid w:val="006B5F69"/>
    <w:rsid w:val="006C3C6F"/>
    <w:rsid w:val="006C451C"/>
    <w:rsid w:val="006C51BB"/>
    <w:rsid w:val="006C5B51"/>
    <w:rsid w:val="006C62A1"/>
    <w:rsid w:val="006D0BB4"/>
    <w:rsid w:val="006D0E30"/>
    <w:rsid w:val="006D67AE"/>
    <w:rsid w:val="006D76F8"/>
    <w:rsid w:val="006D7F8D"/>
    <w:rsid w:val="006E0F0A"/>
    <w:rsid w:val="006E2A4F"/>
    <w:rsid w:val="006E2B93"/>
    <w:rsid w:val="006E4052"/>
    <w:rsid w:val="006E4DA8"/>
    <w:rsid w:val="006E7399"/>
    <w:rsid w:val="006F01CC"/>
    <w:rsid w:val="006F1F0D"/>
    <w:rsid w:val="006F4676"/>
    <w:rsid w:val="006F68EA"/>
    <w:rsid w:val="007034E7"/>
    <w:rsid w:val="00707BBE"/>
    <w:rsid w:val="00707BC0"/>
    <w:rsid w:val="007121C7"/>
    <w:rsid w:val="007156E8"/>
    <w:rsid w:val="007157B8"/>
    <w:rsid w:val="00716FE0"/>
    <w:rsid w:val="007206BC"/>
    <w:rsid w:val="007228F4"/>
    <w:rsid w:val="0072394F"/>
    <w:rsid w:val="00723A23"/>
    <w:rsid w:val="0072638A"/>
    <w:rsid w:val="00727F14"/>
    <w:rsid w:val="007303CB"/>
    <w:rsid w:val="0073117D"/>
    <w:rsid w:val="00734317"/>
    <w:rsid w:val="00734DB5"/>
    <w:rsid w:val="00735824"/>
    <w:rsid w:val="00737074"/>
    <w:rsid w:val="00737F58"/>
    <w:rsid w:val="00742EB5"/>
    <w:rsid w:val="00744F94"/>
    <w:rsid w:val="00752A3F"/>
    <w:rsid w:val="00754146"/>
    <w:rsid w:val="00754161"/>
    <w:rsid w:val="00760666"/>
    <w:rsid w:val="0076387F"/>
    <w:rsid w:val="00764C62"/>
    <w:rsid w:val="00780BC6"/>
    <w:rsid w:val="00785E24"/>
    <w:rsid w:val="007874CA"/>
    <w:rsid w:val="00792059"/>
    <w:rsid w:val="0079316D"/>
    <w:rsid w:val="0079449F"/>
    <w:rsid w:val="007958D4"/>
    <w:rsid w:val="00796931"/>
    <w:rsid w:val="007A0CBA"/>
    <w:rsid w:val="007A1469"/>
    <w:rsid w:val="007A151B"/>
    <w:rsid w:val="007A174C"/>
    <w:rsid w:val="007A3137"/>
    <w:rsid w:val="007A6402"/>
    <w:rsid w:val="007B4A9D"/>
    <w:rsid w:val="007B4B00"/>
    <w:rsid w:val="007B649F"/>
    <w:rsid w:val="007B70F3"/>
    <w:rsid w:val="007C5BC7"/>
    <w:rsid w:val="007D042F"/>
    <w:rsid w:val="007D0846"/>
    <w:rsid w:val="007D16A3"/>
    <w:rsid w:val="007D31F1"/>
    <w:rsid w:val="007D4F3A"/>
    <w:rsid w:val="007D50FE"/>
    <w:rsid w:val="007D7F3C"/>
    <w:rsid w:val="007E1172"/>
    <w:rsid w:val="007E27E1"/>
    <w:rsid w:val="007E42A8"/>
    <w:rsid w:val="007E433F"/>
    <w:rsid w:val="007E4571"/>
    <w:rsid w:val="007E4B79"/>
    <w:rsid w:val="007E4FC0"/>
    <w:rsid w:val="007F0BC9"/>
    <w:rsid w:val="007F255F"/>
    <w:rsid w:val="007F3071"/>
    <w:rsid w:val="007F7D42"/>
    <w:rsid w:val="00801B68"/>
    <w:rsid w:val="0080589C"/>
    <w:rsid w:val="0080703F"/>
    <w:rsid w:val="008121D1"/>
    <w:rsid w:val="0081452F"/>
    <w:rsid w:val="00815B9D"/>
    <w:rsid w:val="0081610D"/>
    <w:rsid w:val="008269E8"/>
    <w:rsid w:val="008302AC"/>
    <w:rsid w:val="008321DE"/>
    <w:rsid w:val="00833EDA"/>
    <w:rsid w:val="00834110"/>
    <w:rsid w:val="00835E9B"/>
    <w:rsid w:val="00840491"/>
    <w:rsid w:val="008405A8"/>
    <w:rsid w:val="00841126"/>
    <w:rsid w:val="008425B9"/>
    <w:rsid w:val="00844D4E"/>
    <w:rsid w:val="00845460"/>
    <w:rsid w:val="008474F8"/>
    <w:rsid w:val="00851A18"/>
    <w:rsid w:val="00854E5E"/>
    <w:rsid w:val="008552A9"/>
    <w:rsid w:val="00855AD2"/>
    <w:rsid w:val="00855EC0"/>
    <w:rsid w:val="008576B1"/>
    <w:rsid w:val="0085778A"/>
    <w:rsid w:val="00860DEF"/>
    <w:rsid w:val="0086512B"/>
    <w:rsid w:val="0086595B"/>
    <w:rsid w:val="0086767D"/>
    <w:rsid w:val="00875578"/>
    <w:rsid w:val="00880E01"/>
    <w:rsid w:val="00881917"/>
    <w:rsid w:val="00883F9C"/>
    <w:rsid w:val="008852B8"/>
    <w:rsid w:val="00886610"/>
    <w:rsid w:val="008879C2"/>
    <w:rsid w:val="00887EB3"/>
    <w:rsid w:val="00890D2D"/>
    <w:rsid w:val="0089107B"/>
    <w:rsid w:val="008968F1"/>
    <w:rsid w:val="008A35DC"/>
    <w:rsid w:val="008A3E12"/>
    <w:rsid w:val="008A3FDD"/>
    <w:rsid w:val="008A474E"/>
    <w:rsid w:val="008A4EEE"/>
    <w:rsid w:val="008A5D40"/>
    <w:rsid w:val="008B16EE"/>
    <w:rsid w:val="008B2799"/>
    <w:rsid w:val="008B6273"/>
    <w:rsid w:val="008C2E2A"/>
    <w:rsid w:val="008C5098"/>
    <w:rsid w:val="008C67CD"/>
    <w:rsid w:val="008C78A4"/>
    <w:rsid w:val="008D7AED"/>
    <w:rsid w:val="008E0C42"/>
    <w:rsid w:val="008E1027"/>
    <w:rsid w:val="008E2C86"/>
    <w:rsid w:val="008E4461"/>
    <w:rsid w:val="008E7A00"/>
    <w:rsid w:val="008F2530"/>
    <w:rsid w:val="008F5891"/>
    <w:rsid w:val="008F6EF9"/>
    <w:rsid w:val="008F7FBA"/>
    <w:rsid w:val="00900F83"/>
    <w:rsid w:val="00902F48"/>
    <w:rsid w:val="00903733"/>
    <w:rsid w:val="00903F9B"/>
    <w:rsid w:val="0090635D"/>
    <w:rsid w:val="00907B2F"/>
    <w:rsid w:val="0091159D"/>
    <w:rsid w:val="00911BB7"/>
    <w:rsid w:val="00912A7A"/>
    <w:rsid w:val="009233CD"/>
    <w:rsid w:val="009249F2"/>
    <w:rsid w:val="00924C4D"/>
    <w:rsid w:val="009253BF"/>
    <w:rsid w:val="0092693B"/>
    <w:rsid w:val="0093150E"/>
    <w:rsid w:val="00931E6A"/>
    <w:rsid w:val="009324D5"/>
    <w:rsid w:val="00934373"/>
    <w:rsid w:val="00934F83"/>
    <w:rsid w:val="0093565A"/>
    <w:rsid w:val="009400CF"/>
    <w:rsid w:val="0094766A"/>
    <w:rsid w:val="00951013"/>
    <w:rsid w:val="00957D9D"/>
    <w:rsid w:val="00962378"/>
    <w:rsid w:val="00962D5F"/>
    <w:rsid w:val="00964808"/>
    <w:rsid w:val="0097135C"/>
    <w:rsid w:val="00972546"/>
    <w:rsid w:val="00972FBD"/>
    <w:rsid w:val="00973E3A"/>
    <w:rsid w:val="0097400E"/>
    <w:rsid w:val="00976331"/>
    <w:rsid w:val="00976739"/>
    <w:rsid w:val="00980F78"/>
    <w:rsid w:val="00984BCF"/>
    <w:rsid w:val="00985E35"/>
    <w:rsid w:val="009901FE"/>
    <w:rsid w:val="00990DFA"/>
    <w:rsid w:val="00991003"/>
    <w:rsid w:val="00991EB9"/>
    <w:rsid w:val="00997554"/>
    <w:rsid w:val="009A037D"/>
    <w:rsid w:val="009A1C7F"/>
    <w:rsid w:val="009A388B"/>
    <w:rsid w:val="009A39F6"/>
    <w:rsid w:val="009A4185"/>
    <w:rsid w:val="009A44C6"/>
    <w:rsid w:val="009A48D9"/>
    <w:rsid w:val="009A5510"/>
    <w:rsid w:val="009A6840"/>
    <w:rsid w:val="009B031B"/>
    <w:rsid w:val="009B0449"/>
    <w:rsid w:val="009B0F7F"/>
    <w:rsid w:val="009B4CBA"/>
    <w:rsid w:val="009B6915"/>
    <w:rsid w:val="009B7569"/>
    <w:rsid w:val="009B76E3"/>
    <w:rsid w:val="009C1B48"/>
    <w:rsid w:val="009C2B6C"/>
    <w:rsid w:val="009C446D"/>
    <w:rsid w:val="009C51C9"/>
    <w:rsid w:val="009C55F8"/>
    <w:rsid w:val="009C5F5A"/>
    <w:rsid w:val="009D0DF8"/>
    <w:rsid w:val="009D2990"/>
    <w:rsid w:val="009D2F2B"/>
    <w:rsid w:val="009D4A34"/>
    <w:rsid w:val="009E31A6"/>
    <w:rsid w:val="009E5467"/>
    <w:rsid w:val="009F0BB2"/>
    <w:rsid w:val="009F0E5A"/>
    <w:rsid w:val="009F53DF"/>
    <w:rsid w:val="009F63DE"/>
    <w:rsid w:val="00A01247"/>
    <w:rsid w:val="00A04D44"/>
    <w:rsid w:val="00A06493"/>
    <w:rsid w:val="00A1094F"/>
    <w:rsid w:val="00A10DE6"/>
    <w:rsid w:val="00A10E1B"/>
    <w:rsid w:val="00A11AA1"/>
    <w:rsid w:val="00A11D7A"/>
    <w:rsid w:val="00A1322C"/>
    <w:rsid w:val="00A13879"/>
    <w:rsid w:val="00A1756D"/>
    <w:rsid w:val="00A17D42"/>
    <w:rsid w:val="00A17DF5"/>
    <w:rsid w:val="00A17E00"/>
    <w:rsid w:val="00A227EA"/>
    <w:rsid w:val="00A24DBA"/>
    <w:rsid w:val="00A259C7"/>
    <w:rsid w:val="00A27533"/>
    <w:rsid w:val="00A31415"/>
    <w:rsid w:val="00A32B63"/>
    <w:rsid w:val="00A33371"/>
    <w:rsid w:val="00A33677"/>
    <w:rsid w:val="00A34828"/>
    <w:rsid w:val="00A37A0D"/>
    <w:rsid w:val="00A40459"/>
    <w:rsid w:val="00A47567"/>
    <w:rsid w:val="00A475EA"/>
    <w:rsid w:val="00A5134F"/>
    <w:rsid w:val="00A51C9F"/>
    <w:rsid w:val="00A523C3"/>
    <w:rsid w:val="00A525CA"/>
    <w:rsid w:val="00A526C8"/>
    <w:rsid w:val="00A55D33"/>
    <w:rsid w:val="00A5701C"/>
    <w:rsid w:val="00A6008D"/>
    <w:rsid w:val="00A65B08"/>
    <w:rsid w:val="00A6729F"/>
    <w:rsid w:val="00A7057B"/>
    <w:rsid w:val="00A71792"/>
    <w:rsid w:val="00A72C2A"/>
    <w:rsid w:val="00A7422E"/>
    <w:rsid w:val="00A80917"/>
    <w:rsid w:val="00A850AA"/>
    <w:rsid w:val="00A85680"/>
    <w:rsid w:val="00A90FA1"/>
    <w:rsid w:val="00A913B7"/>
    <w:rsid w:val="00A91B7C"/>
    <w:rsid w:val="00A92692"/>
    <w:rsid w:val="00A9514A"/>
    <w:rsid w:val="00A95C12"/>
    <w:rsid w:val="00A969AC"/>
    <w:rsid w:val="00A97C6D"/>
    <w:rsid w:val="00AA13B4"/>
    <w:rsid w:val="00AA1B11"/>
    <w:rsid w:val="00AA318E"/>
    <w:rsid w:val="00AA47C6"/>
    <w:rsid w:val="00AB18FA"/>
    <w:rsid w:val="00AB2894"/>
    <w:rsid w:val="00AB3D5F"/>
    <w:rsid w:val="00AB62A3"/>
    <w:rsid w:val="00AB74AF"/>
    <w:rsid w:val="00AB7D30"/>
    <w:rsid w:val="00AC6A1E"/>
    <w:rsid w:val="00AD094C"/>
    <w:rsid w:val="00AD1CDB"/>
    <w:rsid w:val="00AD3D11"/>
    <w:rsid w:val="00AD7240"/>
    <w:rsid w:val="00AD7F2C"/>
    <w:rsid w:val="00AE1668"/>
    <w:rsid w:val="00AE1A08"/>
    <w:rsid w:val="00AE1FE0"/>
    <w:rsid w:val="00AE2BF9"/>
    <w:rsid w:val="00AE2DE8"/>
    <w:rsid w:val="00AE2F15"/>
    <w:rsid w:val="00AE4095"/>
    <w:rsid w:val="00AE4AA4"/>
    <w:rsid w:val="00AE5337"/>
    <w:rsid w:val="00AF0D90"/>
    <w:rsid w:val="00AF339C"/>
    <w:rsid w:val="00AF6AA5"/>
    <w:rsid w:val="00B05223"/>
    <w:rsid w:val="00B05C1B"/>
    <w:rsid w:val="00B06AD4"/>
    <w:rsid w:val="00B10202"/>
    <w:rsid w:val="00B10305"/>
    <w:rsid w:val="00B103AA"/>
    <w:rsid w:val="00B11283"/>
    <w:rsid w:val="00B119FE"/>
    <w:rsid w:val="00B1321C"/>
    <w:rsid w:val="00B15FFF"/>
    <w:rsid w:val="00B164F2"/>
    <w:rsid w:val="00B17CBC"/>
    <w:rsid w:val="00B213B6"/>
    <w:rsid w:val="00B225D1"/>
    <w:rsid w:val="00B312BD"/>
    <w:rsid w:val="00B320F4"/>
    <w:rsid w:val="00B33A10"/>
    <w:rsid w:val="00B34BE1"/>
    <w:rsid w:val="00B34E8A"/>
    <w:rsid w:val="00B3510D"/>
    <w:rsid w:val="00B35864"/>
    <w:rsid w:val="00B36824"/>
    <w:rsid w:val="00B41809"/>
    <w:rsid w:val="00B421E3"/>
    <w:rsid w:val="00B4257A"/>
    <w:rsid w:val="00B43134"/>
    <w:rsid w:val="00B439C9"/>
    <w:rsid w:val="00B44E19"/>
    <w:rsid w:val="00B45300"/>
    <w:rsid w:val="00B45812"/>
    <w:rsid w:val="00B46F29"/>
    <w:rsid w:val="00B478A3"/>
    <w:rsid w:val="00B47934"/>
    <w:rsid w:val="00B523D8"/>
    <w:rsid w:val="00B52843"/>
    <w:rsid w:val="00B5622E"/>
    <w:rsid w:val="00B57548"/>
    <w:rsid w:val="00B57F98"/>
    <w:rsid w:val="00B63F27"/>
    <w:rsid w:val="00B677A8"/>
    <w:rsid w:val="00B83C09"/>
    <w:rsid w:val="00B845C2"/>
    <w:rsid w:val="00B86665"/>
    <w:rsid w:val="00B87D1C"/>
    <w:rsid w:val="00B904ED"/>
    <w:rsid w:val="00B90F49"/>
    <w:rsid w:val="00B93600"/>
    <w:rsid w:val="00B93BA4"/>
    <w:rsid w:val="00B9536E"/>
    <w:rsid w:val="00B96164"/>
    <w:rsid w:val="00BA02AC"/>
    <w:rsid w:val="00BA03C4"/>
    <w:rsid w:val="00BA27BF"/>
    <w:rsid w:val="00BA2ECB"/>
    <w:rsid w:val="00BA4075"/>
    <w:rsid w:val="00BA40D3"/>
    <w:rsid w:val="00BA69C1"/>
    <w:rsid w:val="00BA6DA1"/>
    <w:rsid w:val="00BA6ED4"/>
    <w:rsid w:val="00BA6F53"/>
    <w:rsid w:val="00BB0F59"/>
    <w:rsid w:val="00BB1707"/>
    <w:rsid w:val="00BB1EB7"/>
    <w:rsid w:val="00BB5EF3"/>
    <w:rsid w:val="00BB6C1B"/>
    <w:rsid w:val="00BB6D75"/>
    <w:rsid w:val="00BB7093"/>
    <w:rsid w:val="00BB7CA5"/>
    <w:rsid w:val="00BC09E2"/>
    <w:rsid w:val="00BC11E7"/>
    <w:rsid w:val="00BC1FD2"/>
    <w:rsid w:val="00BC7343"/>
    <w:rsid w:val="00BC74F8"/>
    <w:rsid w:val="00BC7540"/>
    <w:rsid w:val="00BD2F86"/>
    <w:rsid w:val="00BD328D"/>
    <w:rsid w:val="00BD37F3"/>
    <w:rsid w:val="00BD4BBB"/>
    <w:rsid w:val="00BD79CC"/>
    <w:rsid w:val="00BE1BA3"/>
    <w:rsid w:val="00BE2674"/>
    <w:rsid w:val="00BE424F"/>
    <w:rsid w:val="00BE5BE9"/>
    <w:rsid w:val="00BE66B7"/>
    <w:rsid w:val="00BF11B9"/>
    <w:rsid w:val="00BF2144"/>
    <w:rsid w:val="00BF3082"/>
    <w:rsid w:val="00BF5328"/>
    <w:rsid w:val="00BF7041"/>
    <w:rsid w:val="00C00CD1"/>
    <w:rsid w:val="00C057C6"/>
    <w:rsid w:val="00C06B37"/>
    <w:rsid w:val="00C07B0A"/>
    <w:rsid w:val="00C11226"/>
    <w:rsid w:val="00C11328"/>
    <w:rsid w:val="00C11DBD"/>
    <w:rsid w:val="00C13EE0"/>
    <w:rsid w:val="00C14F2C"/>
    <w:rsid w:val="00C14F4E"/>
    <w:rsid w:val="00C16E48"/>
    <w:rsid w:val="00C20C24"/>
    <w:rsid w:val="00C21122"/>
    <w:rsid w:val="00C21BC2"/>
    <w:rsid w:val="00C22BB0"/>
    <w:rsid w:val="00C22E39"/>
    <w:rsid w:val="00C259BD"/>
    <w:rsid w:val="00C25D94"/>
    <w:rsid w:val="00C26780"/>
    <w:rsid w:val="00C2784C"/>
    <w:rsid w:val="00C27A1F"/>
    <w:rsid w:val="00C311F2"/>
    <w:rsid w:val="00C312B7"/>
    <w:rsid w:val="00C3384E"/>
    <w:rsid w:val="00C37493"/>
    <w:rsid w:val="00C37F47"/>
    <w:rsid w:val="00C47852"/>
    <w:rsid w:val="00C512B2"/>
    <w:rsid w:val="00C54665"/>
    <w:rsid w:val="00C55C3F"/>
    <w:rsid w:val="00C5643D"/>
    <w:rsid w:val="00C618B1"/>
    <w:rsid w:val="00C6267E"/>
    <w:rsid w:val="00C62820"/>
    <w:rsid w:val="00C64183"/>
    <w:rsid w:val="00C65F33"/>
    <w:rsid w:val="00C66ACE"/>
    <w:rsid w:val="00C7225F"/>
    <w:rsid w:val="00C73102"/>
    <w:rsid w:val="00C81A21"/>
    <w:rsid w:val="00C82A04"/>
    <w:rsid w:val="00C84917"/>
    <w:rsid w:val="00C8505D"/>
    <w:rsid w:val="00C92BC8"/>
    <w:rsid w:val="00C935B6"/>
    <w:rsid w:val="00C93A85"/>
    <w:rsid w:val="00C95A96"/>
    <w:rsid w:val="00C969C9"/>
    <w:rsid w:val="00C974C9"/>
    <w:rsid w:val="00C9766D"/>
    <w:rsid w:val="00CA088E"/>
    <w:rsid w:val="00CA0B1C"/>
    <w:rsid w:val="00CA230E"/>
    <w:rsid w:val="00CA3A4A"/>
    <w:rsid w:val="00CB7A6C"/>
    <w:rsid w:val="00CC0DA3"/>
    <w:rsid w:val="00CC4394"/>
    <w:rsid w:val="00CD01B7"/>
    <w:rsid w:val="00CD035C"/>
    <w:rsid w:val="00CD104A"/>
    <w:rsid w:val="00CD3A23"/>
    <w:rsid w:val="00CD61BF"/>
    <w:rsid w:val="00CE41B6"/>
    <w:rsid w:val="00D0014C"/>
    <w:rsid w:val="00D05040"/>
    <w:rsid w:val="00D14DFA"/>
    <w:rsid w:val="00D156A3"/>
    <w:rsid w:val="00D1754A"/>
    <w:rsid w:val="00D17CC4"/>
    <w:rsid w:val="00D2411F"/>
    <w:rsid w:val="00D26B62"/>
    <w:rsid w:val="00D278F1"/>
    <w:rsid w:val="00D2791E"/>
    <w:rsid w:val="00D33838"/>
    <w:rsid w:val="00D35370"/>
    <w:rsid w:val="00D40107"/>
    <w:rsid w:val="00D41170"/>
    <w:rsid w:val="00D424C1"/>
    <w:rsid w:val="00D43A26"/>
    <w:rsid w:val="00D4678E"/>
    <w:rsid w:val="00D474EA"/>
    <w:rsid w:val="00D477C0"/>
    <w:rsid w:val="00D50BE3"/>
    <w:rsid w:val="00D53A2E"/>
    <w:rsid w:val="00D55462"/>
    <w:rsid w:val="00D55503"/>
    <w:rsid w:val="00D55832"/>
    <w:rsid w:val="00D632DF"/>
    <w:rsid w:val="00D63DA9"/>
    <w:rsid w:val="00D661E6"/>
    <w:rsid w:val="00D70672"/>
    <w:rsid w:val="00D725DA"/>
    <w:rsid w:val="00D74C30"/>
    <w:rsid w:val="00D7525F"/>
    <w:rsid w:val="00D76AF7"/>
    <w:rsid w:val="00D80560"/>
    <w:rsid w:val="00D83E3E"/>
    <w:rsid w:val="00D8409F"/>
    <w:rsid w:val="00D855FA"/>
    <w:rsid w:val="00D86B2E"/>
    <w:rsid w:val="00D873A3"/>
    <w:rsid w:val="00D921EA"/>
    <w:rsid w:val="00D923A1"/>
    <w:rsid w:val="00D9272B"/>
    <w:rsid w:val="00D9335A"/>
    <w:rsid w:val="00D95FD4"/>
    <w:rsid w:val="00D97ABF"/>
    <w:rsid w:val="00DA4B55"/>
    <w:rsid w:val="00DA7768"/>
    <w:rsid w:val="00DB0445"/>
    <w:rsid w:val="00DB180B"/>
    <w:rsid w:val="00DB1CF6"/>
    <w:rsid w:val="00DC1388"/>
    <w:rsid w:val="00DC1926"/>
    <w:rsid w:val="00DC1948"/>
    <w:rsid w:val="00DC2616"/>
    <w:rsid w:val="00DC3BF1"/>
    <w:rsid w:val="00DD40C5"/>
    <w:rsid w:val="00DD527D"/>
    <w:rsid w:val="00DD7621"/>
    <w:rsid w:val="00DE0EE9"/>
    <w:rsid w:val="00DE27D5"/>
    <w:rsid w:val="00DE4FA2"/>
    <w:rsid w:val="00DF0E69"/>
    <w:rsid w:val="00DF7C07"/>
    <w:rsid w:val="00E118B1"/>
    <w:rsid w:val="00E1255A"/>
    <w:rsid w:val="00E16FA4"/>
    <w:rsid w:val="00E17422"/>
    <w:rsid w:val="00E17F61"/>
    <w:rsid w:val="00E228E3"/>
    <w:rsid w:val="00E25733"/>
    <w:rsid w:val="00E266F9"/>
    <w:rsid w:val="00E27368"/>
    <w:rsid w:val="00E277A7"/>
    <w:rsid w:val="00E27ABC"/>
    <w:rsid w:val="00E30D0F"/>
    <w:rsid w:val="00E3148C"/>
    <w:rsid w:val="00E33D7C"/>
    <w:rsid w:val="00E3441C"/>
    <w:rsid w:val="00E36670"/>
    <w:rsid w:val="00E478E8"/>
    <w:rsid w:val="00E51A16"/>
    <w:rsid w:val="00E57FCC"/>
    <w:rsid w:val="00E60620"/>
    <w:rsid w:val="00E61E5F"/>
    <w:rsid w:val="00E630A9"/>
    <w:rsid w:val="00E64A49"/>
    <w:rsid w:val="00E64D25"/>
    <w:rsid w:val="00E665AE"/>
    <w:rsid w:val="00E70425"/>
    <w:rsid w:val="00E748D8"/>
    <w:rsid w:val="00E830E3"/>
    <w:rsid w:val="00E833D5"/>
    <w:rsid w:val="00E860A8"/>
    <w:rsid w:val="00E86C00"/>
    <w:rsid w:val="00E86C3C"/>
    <w:rsid w:val="00E87719"/>
    <w:rsid w:val="00E90629"/>
    <w:rsid w:val="00E91D21"/>
    <w:rsid w:val="00E92338"/>
    <w:rsid w:val="00E935E4"/>
    <w:rsid w:val="00E95234"/>
    <w:rsid w:val="00E97CE5"/>
    <w:rsid w:val="00EA2F56"/>
    <w:rsid w:val="00EA3134"/>
    <w:rsid w:val="00EA3386"/>
    <w:rsid w:val="00EA4EB7"/>
    <w:rsid w:val="00EA68E3"/>
    <w:rsid w:val="00EB04B8"/>
    <w:rsid w:val="00EB78FB"/>
    <w:rsid w:val="00EC0DB9"/>
    <w:rsid w:val="00EC20EE"/>
    <w:rsid w:val="00EC4A5E"/>
    <w:rsid w:val="00EC71F9"/>
    <w:rsid w:val="00ED090F"/>
    <w:rsid w:val="00ED134D"/>
    <w:rsid w:val="00ED2DA8"/>
    <w:rsid w:val="00ED4BF0"/>
    <w:rsid w:val="00ED5D48"/>
    <w:rsid w:val="00ED6D10"/>
    <w:rsid w:val="00ED7A70"/>
    <w:rsid w:val="00ED7E1B"/>
    <w:rsid w:val="00EE1D57"/>
    <w:rsid w:val="00EE383D"/>
    <w:rsid w:val="00EE4E3E"/>
    <w:rsid w:val="00EE53A4"/>
    <w:rsid w:val="00EE5D79"/>
    <w:rsid w:val="00EE5DAE"/>
    <w:rsid w:val="00EE6E87"/>
    <w:rsid w:val="00EE71C8"/>
    <w:rsid w:val="00EF135A"/>
    <w:rsid w:val="00EF7476"/>
    <w:rsid w:val="00EF7915"/>
    <w:rsid w:val="00F00BF5"/>
    <w:rsid w:val="00F01F2D"/>
    <w:rsid w:val="00F038DE"/>
    <w:rsid w:val="00F04D0D"/>
    <w:rsid w:val="00F05ACC"/>
    <w:rsid w:val="00F05E8F"/>
    <w:rsid w:val="00F0616F"/>
    <w:rsid w:val="00F065B1"/>
    <w:rsid w:val="00F06D99"/>
    <w:rsid w:val="00F07F43"/>
    <w:rsid w:val="00F07FCC"/>
    <w:rsid w:val="00F10875"/>
    <w:rsid w:val="00F1097D"/>
    <w:rsid w:val="00F13732"/>
    <w:rsid w:val="00F14C0D"/>
    <w:rsid w:val="00F169A9"/>
    <w:rsid w:val="00F216D2"/>
    <w:rsid w:val="00F23CD4"/>
    <w:rsid w:val="00F24943"/>
    <w:rsid w:val="00F274D3"/>
    <w:rsid w:val="00F31967"/>
    <w:rsid w:val="00F353CD"/>
    <w:rsid w:val="00F437B0"/>
    <w:rsid w:val="00F44F1E"/>
    <w:rsid w:val="00F45144"/>
    <w:rsid w:val="00F45D06"/>
    <w:rsid w:val="00F530EC"/>
    <w:rsid w:val="00F605C1"/>
    <w:rsid w:val="00F60BBF"/>
    <w:rsid w:val="00F6138D"/>
    <w:rsid w:val="00F62CEF"/>
    <w:rsid w:val="00F64E4C"/>
    <w:rsid w:val="00F661C0"/>
    <w:rsid w:val="00F67280"/>
    <w:rsid w:val="00F70215"/>
    <w:rsid w:val="00F7029E"/>
    <w:rsid w:val="00F70C98"/>
    <w:rsid w:val="00F7315B"/>
    <w:rsid w:val="00F74DA7"/>
    <w:rsid w:val="00F74DC1"/>
    <w:rsid w:val="00F767EE"/>
    <w:rsid w:val="00F8136A"/>
    <w:rsid w:val="00F82068"/>
    <w:rsid w:val="00F856B2"/>
    <w:rsid w:val="00F85B7C"/>
    <w:rsid w:val="00F865E6"/>
    <w:rsid w:val="00F87792"/>
    <w:rsid w:val="00F91FBC"/>
    <w:rsid w:val="00F930AE"/>
    <w:rsid w:val="00F94AD1"/>
    <w:rsid w:val="00F96A59"/>
    <w:rsid w:val="00F9774C"/>
    <w:rsid w:val="00FA0A4A"/>
    <w:rsid w:val="00FA23B5"/>
    <w:rsid w:val="00FA2A02"/>
    <w:rsid w:val="00FA5905"/>
    <w:rsid w:val="00FA650E"/>
    <w:rsid w:val="00FA6E04"/>
    <w:rsid w:val="00FB0647"/>
    <w:rsid w:val="00FB0677"/>
    <w:rsid w:val="00FB0CED"/>
    <w:rsid w:val="00FB1683"/>
    <w:rsid w:val="00FB6583"/>
    <w:rsid w:val="00FC12DA"/>
    <w:rsid w:val="00FC26D3"/>
    <w:rsid w:val="00FC3707"/>
    <w:rsid w:val="00FC396E"/>
    <w:rsid w:val="00FC66BB"/>
    <w:rsid w:val="00FD0338"/>
    <w:rsid w:val="00FD0614"/>
    <w:rsid w:val="00FD119E"/>
    <w:rsid w:val="00FD39C7"/>
    <w:rsid w:val="00FE10DB"/>
    <w:rsid w:val="00FE22D1"/>
    <w:rsid w:val="00FE26F4"/>
    <w:rsid w:val="00FE330A"/>
    <w:rsid w:val="00FE3DC3"/>
    <w:rsid w:val="00FE40E4"/>
    <w:rsid w:val="00FE491B"/>
    <w:rsid w:val="00FE49DE"/>
    <w:rsid w:val="00FE5A8F"/>
    <w:rsid w:val="00FE5B8B"/>
    <w:rsid w:val="00FE6D70"/>
    <w:rsid w:val="00FE7CF5"/>
    <w:rsid w:val="00FE7D6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4AE343B-0234-4DD2-B6E9-53CE3613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30A9"/>
    <w:pPr>
      <w:ind w:left="720"/>
      <w:contextualSpacing/>
    </w:pPr>
  </w:style>
  <w:style w:type="paragraph" w:styleId="NormalWeb">
    <w:name w:val="Normal (Web)"/>
    <w:basedOn w:val="Normal"/>
    <w:uiPriority w:val="99"/>
    <w:unhideWhenUsed/>
    <w:rsid w:val="00FB064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9C2B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2B6C"/>
    <w:rPr>
      <w:sz w:val="20"/>
      <w:szCs w:val="20"/>
    </w:rPr>
  </w:style>
  <w:style w:type="character" w:styleId="Refdenotaalpie">
    <w:name w:val="footnote reference"/>
    <w:basedOn w:val="Fuentedeprrafopredeter"/>
    <w:uiPriority w:val="99"/>
    <w:semiHidden/>
    <w:unhideWhenUsed/>
    <w:rsid w:val="009C2B6C"/>
    <w:rPr>
      <w:vertAlign w:val="superscript"/>
    </w:rPr>
  </w:style>
  <w:style w:type="table" w:customStyle="1" w:styleId="Tabladecuadrcula1clara1">
    <w:name w:val="Tabla de cuadrícula 1 clara1"/>
    <w:basedOn w:val="Tablanormal"/>
    <w:uiPriority w:val="46"/>
    <w:rsid w:val="00F353C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
    <w:name w:val="Cuerpo"/>
    <w:rsid w:val="002C62A8"/>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table" w:customStyle="1" w:styleId="Tablanormal41">
    <w:name w:val="Tabla normal 41"/>
    <w:basedOn w:val="Tablanormal"/>
    <w:uiPriority w:val="44"/>
    <w:rsid w:val="00B1030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BA2E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ECB"/>
  </w:style>
  <w:style w:type="paragraph" w:styleId="Piedepgina">
    <w:name w:val="footer"/>
    <w:basedOn w:val="Normal"/>
    <w:link w:val="PiedepginaCar"/>
    <w:uiPriority w:val="99"/>
    <w:unhideWhenUsed/>
    <w:rsid w:val="00BA2E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103">
      <w:bodyDiv w:val="1"/>
      <w:marLeft w:val="0"/>
      <w:marRight w:val="0"/>
      <w:marTop w:val="0"/>
      <w:marBottom w:val="0"/>
      <w:divBdr>
        <w:top w:val="none" w:sz="0" w:space="0" w:color="auto"/>
        <w:left w:val="none" w:sz="0" w:space="0" w:color="auto"/>
        <w:bottom w:val="none" w:sz="0" w:space="0" w:color="auto"/>
        <w:right w:val="none" w:sz="0" w:space="0" w:color="auto"/>
      </w:divBdr>
    </w:div>
    <w:div w:id="17959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naparis\Downloads\Indicadores%20Nuevos%202015%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a:solidFill>
                  <a:sysClr val="windowText" lastClr="000000"/>
                </a:solidFill>
              </a:rPr>
              <a:t>Gráfico n°1. Ejecución de Inversión del Fondo de Seguridad y Convivencia del Distrito por vigencia 2012-2015</a:t>
            </a:r>
          </a:p>
        </c:rich>
      </c:tx>
      <c:layout>
        <c:manualLayout>
          <c:xMode val="edge"/>
          <c:yMode val="edge"/>
          <c:x val="0.118791557305337"/>
          <c:y val="4.6296296296296301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5376181102362199"/>
          <c:y val="0.28430555555555598"/>
          <c:w val="0.74911548556430496"/>
          <c:h val="0.50239173228346501"/>
        </c:manualLayout>
      </c:layout>
      <c:barChart>
        <c:barDir val="col"/>
        <c:grouping val="clustered"/>
        <c:varyColors val="0"/>
        <c:ser>
          <c:idx val="0"/>
          <c:order val="0"/>
          <c:tx>
            <c:strRef>
              <c:f>'[Indicadores Nuevos 2015 (1).xlsx]Hoja1'!$C$5</c:f>
              <c:strCache>
                <c:ptCount val="1"/>
                <c:pt idx="0">
                  <c:v>Apropiacion Final</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'[Indicadores Nuevos 2015 (1).xlsx]Hoja1'!$B$6:$B$9</c:f>
              <c:numCache>
                <c:formatCode>General</c:formatCode>
                <c:ptCount val="4"/>
                <c:pt idx="0">
                  <c:v>2012</c:v>
                </c:pt>
                <c:pt idx="1">
                  <c:v>2013</c:v>
                </c:pt>
                <c:pt idx="2">
                  <c:v>2014</c:v>
                </c:pt>
                <c:pt idx="3">
                  <c:v>2015</c:v>
                </c:pt>
              </c:numCache>
            </c:numRef>
          </c:cat>
          <c:val>
            <c:numRef>
              <c:f>'[Indicadores Nuevos 2015 (1).xlsx]Hoja1'!$C$6:$C$9</c:f>
              <c:numCache>
                <c:formatCode>_(* #,##0.00_);_(* \(#,##0.00\);_(* "-"??_);_(@_)</c:formatCode>
                <c:ptCount val="4"/>
                <c:pt idx="0">
                  <c:v>19471</c:v>
                </c:pt>
                <c:pt idx="1">
                  <c:v>22875</c:v>
                </c:pt>
                <c:pt idx="2">
                  <c:v>23653</c:v>
                </c:pt>
                <c:pt idx="3">
                  <c:v>22082</c:v>
                </c:pt>
              </c:numCache>
            </c:numRef>
          </c:val>
        </c:ser>
        <c:ser>
          <c:idx val="1"/>
          <c:order val="1"/>
          <c:tx>
            <c:strRef>
              <c:f>'[Indicadores Nuevos 2015 (1).xlsx]Hoja1'!$D$5</c:f>
              <c:strCache>
                <c:ptCount val="1"/>
                <c:pt idx="0">
                  <c:v>Ejecución</c:v>
                </c:pt>
              </c:strCache>
            </c:strRef>
          </c:tx>
          <c:spPr>
            <a:solidFill>
              <a:schemeClr val="bg1">
                <a:lumMod val="50000"/>
              </a:schemeClr>
            </a:soli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'[Indicadores Nuevos 2015 (1).xlsx]Hoja1'!$B$6:$B$9</c:f>
              <c:numCache>
                <c:formatCode>General</c:formatCode>
                <c:ptCount val="4"/>
                <c:pt idx="0">
                  <c:v>2012</c:v>
                </c:pt>
                <c:pt idx="1">
                  <c:v>2013</c:v>
                </c:pt>
                <c:pt idx="2">
                  <c:v>2014</c:v>
                </c:pt>
                <c:pt idx="3">
                  <c:v>2015</c:v>
                </c:pt>
              </c:numCache>
            </c:numRef>
          </c:cat>
          <c:val>
            <c:numRef>
              <c:f>'[Indicadores Nuevos 2015 (1).xlsx]Hoja1'!$D$6:$D$9</c:f>
              <c:numCache>
                <c:formatCode>_(* #,##0.00_);_(* \(#,##0.00\);_(* "-"??_);_(@_)</c:formatCode>
                <c:ptCount val="4"/>
                <c:pt idx="0">
                  <c:v>19428</c:v>
                </c:pt>
                <c:pt idx="1">
                  <c:v>22849</c:v>
                </c:pt>
                <c:pt idx="2">
                  <c:v>23453</c:v>
                </c:pt>
                <c:pt idx="3">
                  <c:v>22020</c:v>
                </c:pt>
              </c:numCache>
            </c:numRef>
          </c:val>
        </c:ser>
        <c:dLbls>
          <c:showLegendKey val="0"/>
          <c:showVal val="0"/>
          <c:showCatName val="0"/>
          <c:showSerName val="0"/>
          <c:showPercent val="0"/>
          <c:showBubbleSize val="0"/>
        </c:dLbls>
        <c:gapWidth val="219"/>
        <c:axId val="223479584"/>
        <c:axId val="223480368"/>
      </c:barChart>
      <c:lineChart>
        <c:grouping val="standard"/>
        <c:varyColors val="0"/>
        <c:ser>
          <c:idx val="2"/>
          <c:order val="2"/>
          <c:tx>
            <c:strRef>
              <c:f>'[Indicadores Nuevos 2015 (1).xlsx]Hoja1'!$E$5</c:f>
              <c:strCache>
                <c:ptCount val="1"/>
                <c:pt idx="0">
                  <c:v>%</c:v>
                </c:pt>
              </c:strCache>
            </c:strRef>
          </c:tx>
          <c:spPr>
            <a:ln w="19050" cap="rnd">
              <a:solidFill>
                <a:schemeClr val="tx1"/>
              </a:solidFill>
              <a:prstDash val="sysDot"/>
              <a:round/>
            </a:ln>
            <a:effectLst>
              <a:outerShdw blurRad="40000" dist="23000" dir="5400000" rotWithShape="0">
                <a:srgbClr val="000000">
                  <a:alpha val="35000"/>
                </a:srgbClr>
              </a:outerShdw>
            </a:effectLst>
          </c:spPr>
          <c:marker>
            <c:symbol val="circle"/>
            <c:size val="5"/>
            <c:spPr>
              <a:solidFill>
                <a:schemeClr val="tx1"/>
              </a:soli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'[Indicadores Nuevos 2015 (1).xlsx]Hoja1'!$B$6:$B$9</c:f>
              <c:numCache>
                <c:formatCode>General</c:formatCode>
                <c:ptCount val="4"/>
                <c:pt idx="0">
                  <c:v>2012</c:v>
                </c:pt>
                <c:pt idx="1">
                  <c:v>2013</c:v>
                </c:pt>
                <c:pt idx="2">
                  <c:v>2014</c:v>
                </c:pt>
                <c:pt idx="3">
                  <c:v>2015</c:v>
                </c:pt>
              </c:numCache>
            </c:numRef>
          </c:cat>
          <c:val>
            <c:numRef>
              <c:f>'[Indicadores Nuevos 2015 (1).xlsx]Hoja1'!$E$6:$E$9</c:f>
              <c:numCache>
                <c:formatCode>0%</c:formatCode>
                <c:ptCount val="4"/>
                <c:pt idx="0">
                  <c:v>0.99779158748908703</c:v>
                </c:pt>
                <c:pt idx="1">
                  <c:v>0.998863387978142</c:v>
                </c:pt>
                <c:pt idx="2">
                  <c:v>0.99154441297087104</c:v>
                </c:pt>
                <c:pt idx="3">
                  <c:v>0.99719228330767096</c:v>
                </c:pt>
              </c:numCache>
            </c:numRef>
          </c:val>
          <c:smooth val="0"/>
        </c:ser>
        <c:dLbls>
          <c:showLegendKey val="0"/>
          <c:showVal val="0"/>
          <c:showCatName val="0"/>
          <c:showSerName val="0"/>
          <c:showPercent val="0"/>
          <c:showBubbleSize val="0"/>
        </c:dLbls>
        <c:marker val="1"/>
        <c:smooth val="0"/>
        <c:axId val="169269912"/>
        <c:axId val="126627848"/>
      </c:lineChart>
      <c:catAx>
        <c:axId val="2234795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23480368"/>
        <c:crosses val="autoZero"/>
        <c:auto val="1"/>
        <c:lblAlgn val="ctr"/>
        <c:lblOffset val="100"/>
        <c:noMultiLvlLbl val="0"/>
      </c:catAx>
      <c:valAx>
        <c:axId val="223480368"/>
        <c:scaling>
          <c:orientation val="minMax"/>
        </c:scaling>
        <c:delete val="0"/>
        <c:axPos val="l"/>
        <c:majorGridlines>
          <c:spPr>
            <a:ln w="9525" cap="flat" cmpd="sng" algn="ctr">
              <a:solidFill>
                <a:schemeClr val="tx2">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23479584"/>
        <c:crosses val="autoZero"/>
        <c:crossBetween val="between"/>
      </c:valAx>
      <c:valAx>
        <c:axId val="126627848"/>
        <c:scaling>
          <c:orientation val="minMax"/>
          <c:max val="1"/>
          <c:min val="0.85"/>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69269912"/>
        <c:crosses val="max"/>
        <c:crossBetween val="between"/>
        <c:majorUnit val="0.05"/>
      </c:valAx>
      <c:catAx>
        <c:axId val="169269912"/>
        <c:scaling>
          <c:orientation val="minMax"/>
        </c:scaling>
        <c:delete val="1"/>
        <c:axPos val="t"/>
        <c:numFmt formatCode="General" sourceLinked="1"/>
        <c:majorTickMark val="none"/>
        <c:minorTickMark val="none"/>
        <c:tickLblPos val="nextTo"/>
        <c:crossAx val="126627848"/>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sz="1000">
                <a:solidFill>
                  <a:sysClr val="windowText" lastClr="000000"/>
                </a:solidFill>
              </a:rPr>
              <a:t>Gráfico n°2. Distribución de la inversion por fuente de recursos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26487716105550502"/>
          <c:y val="0.211023996198622"/>
          <c:w val="0.46417955717318798"/>
          <c:h val="0.72720361130910005"/>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3"/>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Pt>
            <c:idx val="4"/>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dPt>
          <c:dPt>
            <c:idx val="5"/>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Pt>
            <c:idx val="6"/>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dPt>
          <c:dLbls>
            <c:dLbl>
              <c:idx val="0"/>
              <c:layout>
                <c:manualLayout>
                  <c:x val="7.1154163054458999E-2"/>
                  <c:y val="-0.15648956211193499"/>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5.7343230185398802E-2"/>
                  <c:y val="-5.7954177680747898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1.13966645889013E-3"/>
                  <c:y val="6.6636360405056304E-4"/>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5.4876420702189302E-2"/>
                  <c:y val="4.63618455390866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33618441006976002"/>
                  <c:y val="0.133861635078937"/>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166019693398198"/>
                  <c:y val="5.345014339351549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6"/>
              <c:layout>
                <c:manualLayout>
                  <c:x val="-9.8469140402035693E-2"/>
                  <c:y val="4.06560370260204E-2"/>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Utsaah" panose="020B0604020202020204" pitchFamily="34" charset="0"/>
                    <a:ea typeface="+mn-ea"/>
                    <a:cs typeface="Utsaah" panose="020B0604020202020204" pitchFamily="34" charset="0"/>
                  </a:defRPr>
                </a:pPr>
                <a:endParaRPr lang="es-CO"/>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'2014'!$J$34:$J$40</c:f>
              <c:strCache>
                <c:ptCount val="7"/>
                <c:pt idx="0">
                  <c:v>5%</c:v>
                </c:pt>
                <c:pt idx="1">
                  <c:v>ICLD</c:v>
                </c:pt>
                <c:pt idx="2">
                  <c:v>COFINANCIACION</c:v>
                </c:pt>
                <c:pt idx="3">
                  <c:v>CONSTRUSEÑALES</c:v>
                </c:pt>
                <c:pt idx="4">
                  <c:v>CREDITO</c:v>
                </c:pt>
                <c:pt idx="5">
                  <c:v>C. ETESA</c:v>
                </c:pt>
                <c:pt idx="6">
                  <c:v>R. balance</c:v>
                </c:pt>
              </c:strCache>
            </c:strRef>
          </c:cat>
          <c:val>
            <c:numRef>
              <c:f>'2014'!$L$34:$L$40</c:f>
              <c:numCache>
                <c:formatCode>_(* #,##0.00_);_(* \(#,##0.00\);_(* "-"??_);_(@_)</c:formatCode>
                <c:ptCount val="7"/>
                <c:pt idx="0">
                  <c:v>56519</c:v>
                </c:pt>
                <c:pt idx="1">
                  <c:v>4571</c:v>
                </c:pt>
                <c:pt idx="2">
                  <c:v>9538</c:v>
                </c:pt>
                <c:pt idx="3">
                  <c:v>9100</c:v>
                </c:pt>
                <c:pt idx="4">
                  <c:v>5610</c:v>
                </c:pt>
                <c:pt idx="5">
                  <c:v>815</c:v>
                </c:pt>
                <c:pt idx="6">
                  <c:v>1603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A256-1CDC-46FA-B0D8-0C76C36A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3532</Words>
  <Characters>19428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Nuñez Cabrera</dc:creator>
  <cp:keywords/>
  <dc:description/>
  <cp:lastModifiedBy>BELKA GUTIERREZ</cp:lastModifiedBy>
  <cp:revision>2</cp:revision>
  <dcterms:created xsi:type="dcterms:W3CDTF">2015-10-30T18:25:00Z</dcterms:created>
  <dcterms:modified xsi:type="dcterms:W3CDTF">2015-10-30T18:25:00Z</dcterms:modified>
</cp:coreProperties>
</file>