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8"/>
        <w:gridCol w:w="562"/>
        <w:gridCol w:w="431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07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ACTAS DEL COMITÉ EVALUADOR DE OFERTAS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comité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CONTRATOS DE INTERVENTORÍA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disponibilidad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Estudio previo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Análisis del sector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Solicitud e presentación de 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Cédula de ciudadanía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único tributario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antecedentes disciplinarios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responsabilidad fiscal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Formato único de hojas de vida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existencia y representación legal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bancaria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de pagos seguridad social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Póliza de cumplimiento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Comprobante de pago de estampillas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aportes parafiscales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Orden de pago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terminación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suspensión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reinicio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liquidación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 Se elimina por contener información que inciden en la transformación del paisaje e infraestructura de la ciudad.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CONTRATOS DE PRESTACIÓN DE SERVICIOS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disponibilidad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Estudio previo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Análisis del sector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Solicitud e presentación de 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Cédula de ciudadanía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único tributario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antecedentes disciplinarios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responsabilidad fiscal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Formato único de hojas de vida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existencia y representación legal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bancaria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de pagos seguridad social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Póliza de cumplimiento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Comprobante de pago de estampillas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aportes parafiscales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Orden de pago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terminación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suspensión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reinicio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liquidación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Seleccionar muestra representativa del 10% de producción documental anual para conservar en el Archivo Histórico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CONTRATOS INTERADMINISTRATIVOS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disponibilidad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presupuestal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Estudio previo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Análisis del sector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Solicitud De presentación de 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Propuesta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Cédula de ciudadanía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Existencia y Representación Legal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Registro único tributario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antecedentes disciplinarios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responsabilidad fiscal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Formato único de hojas de vida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Certificado de idoneidad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bancaria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Certificación de pagos seguridad social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Contrato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Póliza de garantía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Recibo de pago de impuestos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 de inversión inicial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Comunicaciones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 de interventoría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Prórroga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 xml:space="preserve">Otrosí 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Eliminar una vez cumplido el periodo de retención. El contenido informativo de esta serie no es relevante para la realización de posteriores investigaciones históricas o culturales.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INFORMES FINANCIEROS A BANCOS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Informe financiero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Eliminar una vez cumplido el periodo de retención, la información contenida en esta serie no presenta relevancia para posteriores investigaciones históricas y culturales.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ind w:left="0"/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431" w:type="dxa"/>
          </w:tcPr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ind w:left="0"/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ind w:left="0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/>
                <w:sz w:val="20"/>
              </w:rPr>
              <w:t>INSTRUMENTOS ARCHIVÍSTICOS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 w:cstheme="minorHAnsi"/>
                <w:sz w:val="20"/>
                <w:szCs w:val="20"/>
              </w:rPr>
              <w:t>Tabla de retención documental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 w:cstheme="minorHAnsi"/>
                <w:sz w:val="20"/>
                <w:szCs w:val="20"/>
              </w:rPr>
              <w:t>Cuadro de clasificación documental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 w:cstheme="minorHAnsi"/>
                <w:sz w:val="20"/>
                <w:szCs w:val="20"/>
              </w:rPr>
              <w:t>Modelo de requisitos para la gestión de documentos electrónicos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 w:cstheme="minorHAnsi"/>
                <w:sz w:val="20"/>
                <w:szCs w:val="20"/>
              </w:rPr>
              <w:t>Tabla de control de acceso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A65873">
              <w:rPr>
                <w:rFonts w:ascii="Calibri" w:hAnsi="Calibri" w:cstheme="minorHAnsi"/>
                <w:sz w:val="20"/>
                <w:szCs w:val="20"/>
              </w:rPr>
              <w:t>Reglamento interno de archivo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información y documentación de la agencia distrital.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INVENTARIOS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INVENTARIOS DE ELEMENTOS DE CONSUMO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Inventario de elementos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Eliminar una vez cumplido el periodo de retención, la información contenida en esta serie no presenta relevancia para posteriores investigaciones históricas y culturales.</w:t>
            </w:r>
          </w:p>
        </w:tc>
      </w:tr>
      <w:tr w:rsidR="00A65873" w:rsidRPr="00A65873" w:rsidTr="00A65873">
        <w:tc>
          <w:tcPr>
            <w:tcW w:w="708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A65873" w:rsidRPr="00A65873" w:rsidRDefault="00A65873" w:rsidP="00567E3B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INVENTARIOS DE ELEMENTOS DEVOLUTIVOS</w:t>
            </w:r>
          </w:p>
          <w:p w:rsidR="00A65873" w:rsidRPr="00A65873" w:rsidRDefault="00A65873" w:rsidP="00A6587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Inventario de elementos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A65873" w:rsidRPr="00A65873" w:rsidRDefault="00A65873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A65873" w:rsidRPr="00A65873" w:rsidRDefault="00A65873" w:rsidP="00567E3B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 xml:space="preserve">Eliminar una vez cumplido el periodo de retención, la información contenida en </w:t>
            </w:r>
            <w:r w:rsidRPr="00A65873">
              <w:rPr>
                <w:rFonts w:ascii="Calibri" w:hAnsi="Calibri"/>
                <w:sz w:val="20"/>
              </w:rPr>
              <w:lastRenderedPageBreak/>
              <w:t>esta serie no presenta relevancia para posteriores investigaciones históricas y culturales.</w:t>
            </w:r>
          </w:p>
        </w:tc>
      </w:tr>
      <w:tr w:rsidR="007D736F" w:rsidRPr="00A65873" w:rsidTr="00A65873">
        <w:tc>
          <w:tcPr>
            <w:tcW w:w="708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lastRenderedPageBreak/>
              <w:t>200</w:t>
            </w:r>
          </w:p>
        </w:tc>
        <w:tc>
          <w:tcPr>
            <w:tcW w:w="562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31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D736F" w:rsidRPr="00A65873" w:rsidRDefault="007D736F" w:rsidP="007D736F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736F" w:rsidRPr="00A65873" w:rsidRDefault="007D736F" w:rsidP="007D736F">
            <w:pPr>
              <w:rPr>
                <w:rFonts w:ascii="Calibri" w:hAnsi="Calibri"/>
                <w:sz w:val="20"/>
              </w:rPr>
            </w:pPr>
          </w:p>
        </w:tc>
      </w:tr>
      <w:tr w:rsidR="007D736F" w:rsidRPr="00A65873" w:rsidTr="00A65873">
        <w:tc>
          <w:tcPr>
            <w:tcW w:w="708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31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7D736F" w:rsidRPr="00A65873" w:rsidRDefault="007D736F" w:rsidP="007D736F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 ESTRATEGICO INSTITUCIONAL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 estratégico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736F" w:rsidRPr="00A65873" w:rsidRDefault="007D736F" w:rsidP="007D736F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 Se conserva por ser el documento orientador de la estrategia y las acciones institucionales de la entidad.</w:t>
            </w:r>
          </w:p>
        </w:tc>
      </w:tr>
      <w:tr w:rsidR="007D736F" w:rsidRPr="00A65873" w:rsidTr="00A65873">
        <w:tc>
          <w:tcPr>
            <w:tcW w:w="708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31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7D736F" w:rsidRPr="00A65873" w:rsidRDefault="007D736F" w:rsidP="007D736F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PLANES ANUALES DE ADQUISICIONES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Plan de adquisiciones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736F" w:rsidRPr="00A65873" w:rsidRDefault="007D736F" w:rsidP="007D736F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 Se conserva como testimonio de la planeación administrativa y presupuestal en materia de compra y contratación de bienes y servicios para el adecuado funcionamiento de la entidad.</w:t>
            </w:r>
          </w:p>
        </w:tc>
      </w:tr>
      <w:tr w:rsidR="007D736F" w:rsidRPr="00A65873" w:rsidTr="00A65873">
        <w:tc>
          <w:tcPr>
            <w:tcW w:w="708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bookmarkStart w:id="0" w:name="_GoBack"/>
            <w:bookmarkEnd w:id="0"/>
            <w:r w:rsidRPr="00A65873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562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431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7D736F" w:rsidRPr="00A65873" w:rsidRDefault="007D736F" w:rsidP="007D736F">
            <w:p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SISTEMA DE GESTIÓN DE CALIDAD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Manual de calidad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Acta de revisión gerencial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Mapa de procesos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Procedimientos del SGC</w:t>
            </w:r>
          </w:p>
          <w:p w:rsidR="007D736F" w:rsidRPr="00A65873" w:rsidRDefault="007D736F" w:rsidP="007D736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Listado maestro de registros y documentos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736F" w:rsidRPr="00A65873" w:rsidRDefault="007D736F" w:rsidP="007D736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736F" w:rsidRPr="00A65873" w:rsidRDefault="007D736F" w:rsidP="007D736F">
            <w:pPr>
              <w:rPr>
                <w:rFonts w:ascii="Calibri" w:hAnsi="Calibri"/>
                <w:sz w:val="20"/>
              </w:rPr>
            </w:pPr>
            <w:r w:rsidRPr="00A65873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 en la documentación y gestión de sus procesos.</w:t>
            </w:r>
          </w:p>
        </w:tc>
      </w:tr>
    </w:tbl>
    <w:p w:rsidR="00A65873" w:rsidRPr="00A65873" w:rsidRDefault="00A65873" w:rsidP="00A65873">
      <w:pPr>
        <w:rPr>
          <w:rFonts w:ascii="Calibri" w:hAnsi="Calibri"/>
          <w:sz w:val="20"/>
        </w:rPr>
      </w:pPr>
    </w:p>
    <w:sectPr w:rsidR="00A65873" w:rsidRPr="00A65873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E2" w:rsidRDefault="001D0EE2" w:rsidP="00D22650">
      <w:pPr>
        <w:spacing w:after="0" w:line="240" w:lineRule="auto"/>
      </w:pPr>
      <w:r>
        <w:separator/>
      </w:r>
    </w:p>
  </w:endnote>
  <w:endnote w:type="continuationSeparator" w:id="0">
    <w:p w:rsidR="001D0EE2" w:rsidRDefault="001D0EE2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E2" w:rsidRDefault="001D0EE2" w:rsidP="00D22650">
      <w:pPr>
        <w:spacing w:after="0" w:line="240" w:lineRule="auto"/>
      </w:pPr>
      <w:r>
        <w:separator/>
      </w:r>
    </w:p>
  </w:footnote>
  <w:footnote w:type="continuationSeparator" w:id="0">
    <w:p w:rsidR="001D0EE2" w:rsidRDefault="001D0EE2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UNIDAD ADMINISTRATIVA: GERENCIA</w:t>
          </w:r>
        </w:p>
        <w:p w:rsidR="00AD1042" w:rsidRPr="00AD1042" w:rsidRDefault="00AD1042" w:rsidP="00A65873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7D2EFA">
            <w:rPr>
              <w:sz w:val="24"/>
              <w:szCs w:val="24"/>
            </w:rPr>
            <w:t>OFICINA A</w:t>
          </w:r>
          <w:r w:rsidR="00A65873">
            <w:rPr>
              <w:sz w:val="24"/>
              <w:szCs w:val="24"/>
            </w:rPr>
            <w:t>DMINISTRATIVA Y FINANCIERA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2"/>
  </w:num>
  <w:num w:numId="5">
    <w:abstractNumId w:val="44"/>
  </w:num>
  <w:num w:numId="6">
    <w:abstractNumId w:val="9"/>
  </w:num>
  <w:num w:numId="7">
    <w:abstractNumId w:val="24"/>
  </w:num>
  <w:num w:numId="8">
    <w:abstractNumId w:val="19"/>
  </w:num>
  <w:num w:numId="9">
    <w:abstractNumId w:val="13"/>
  </w:num>
  <w:num w:numId="10">
    <w:abstractNumId w:val="38"/>
  </w:num>
  <w:num w:numId="11">
    <w:abstractNumId w:val="17"/>
  </w:num>
  <w:num w:numId="12">
    <w:abstractNumId w:val="4"/>
  </w:num>
  <w:num w:numId="13">
    <w:abstractNumId w:val="37"/>
  </w:num>
  <w:num w:numId="14">
    <w:abstractNumId w:val="12"/>
  </w:num>
  <w:num w:numId="15">
    <w:abstractNumId w:val="30"/>
  </w:num>
  <w:num w:numId="16">
    <w:abstractNumId w:val="6"/>
  </w:num>
  <w:num w:numId="17">
    <w:abstractNumId w:val="0"/>
  </w:num>
  <w:num w:numId="18">
    <w:abstractNumId w:val="14"/>
  </w:num>
  <w:num w:numId="19">
    <w:abstractNumId w:val="39"/>
  </w:num>
  <w:num w:numId="20">
    <w:abstractNumId w:val="23"/>
  </w:num>
  <w:num w:numId="21">
    <w:abstractNumId w:val="42"/>
  </w:num>
  <w:num w:numId="22">
    <w:abstractNumId w:val="25"/>
  </w:num>
  <w:num w:numId="23">
    <w:abstractNumId w:val="41"/>
  </w:num>
  <w:num w:numId="24">
    <w:abstractNumId w:val="47"/>
  </w:num>
  <w:num w:numId="25">
    <w:abstractNumId w:val="35"/>
  </w:num>
  <w:num w:numId="26">
    <w:abstractNumId w:val="34"/>
  </w:num>
  <w:num w:numId="27">
    <w:abstractNumId w:val="22"/>
  </w:num>
  <w:num w:numId="28">
    <w:abstractNumId w:val="31"/>
  </w:num>
  <w:num w:numId="29">
    <w:abstractNumId w:val="36"/>
  </w:num>
  <w:num w:numId="30">
    <w:abstractNumId w:val="5"/>
  </w:num>
  <w:num w:numId="31">
    <w:abstractNumId w:val="21"/>
  </w:num>
  <w:num w:numId="32">
    <w:abstractNumId w:val="10"/>
  </w:num>
  <w:num w:numId="33">
    <w:abstractNumId w:val="16"/>
  </w:num>
  <w:num w:numId="34">
    <w:abstractNumId w:val="28"/>
  </w:num>
  <w:num w:numId="35">
    <w:abstractNumId w:val="20"/>
  </w:num>
  <w:num w:numId="36">
    <w:abstractNumId w:val="15"/>
  </w:num>
  <w:num w:numId="37">
    <w:abstractNumId w:val="40"/>
  </w:num>
  <w:num w:numId="38">
    <w:abstractNumId w:val="2"/>
  </w:num>
  <w:num w:numId="39">
    <w:abstractNumId w:val="33"/>
  </w:num>
  <w:num w:numId="40">
    <w:abstractNumId w:val="29"/>
  </w:num>
  <w:num w:numId="41">
    <w:abstractNumId w:val="46"/>
  </w:num>
  <w:num w:numId="42">
    <w:abstractNumId w:val="43"/>
  </w:num>
  <w:num w:numId="43">
    <w:abstractNumId w:val="11"/>
  </w:num>
  <w:num w:numId="44">
    <w:abstractNumId w:val="26"/>
  </w:num>
  <w:num w:numId="45">
    <w:abstractNumId w:val="45"/>
  </w:num>
  <w:num w:numId="46">
    <w:abstractNumId w:val="27"/>
  </w:num>
  <w:num w:numId="47">
    <w:abstractNumId w:val="18"/>
  </w:num>
  <w:num w:numId="4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0EE2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D736F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FAAC-6229-489B-9390-DE1BE9C5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6</cp:revision>
  <cp:lastPrinted>2013-08-05T15:24:00Z</cp:lastPrinted>
  <dcterms:created xsi:type="dcterms:W3CDTF">2019-02-15T12:53:00Z</dcterms:created>
  <dcterms:modified xsi:type="dcterms:W3CDTF">2019-02-15T13:31:00Z</dcterms:modified>
</cp:coreProperties>
</file>